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54" w:rsidRDefault="00365BAA" w:rsidP="00802F54">
      <w:pPr>
        <w:spacing w:after="0" w:line="240" w:lineRule="auto"/>
        <w:jc w:val="center"/>
        <w:rPr>
          <w:b/>
          <w:sz w:val="26"/>
          <w:szCs w:val="26"/>
        </w:rPr>
      </w:pPr>
      <w:r>
        <w:rPr>
          <w:b/>
          <w:sz w:val="26"/>
          <w:szCs w:val="26"/>
        </w:rPr>
        <w:t>„</w:t>
      </w:r>
      <w:r w:rsidR="00493A80" w:rsidRPr="00E71F91">
        <w:rPr>
          <w:b/>
          <w:sz w:val="26"/>
          <w:szCs w:val="26"/>
        </w:rPr>
        <w:t>PROGRAM DODJELE POTPORA MALE VRIJEDNOSTI</w:t>
      </w:r>
      <w:r w:rsidR="00802F54">
        <w:rPr>
          <w:b/>
          <w:sz w:val="26"/>
          <w:szCs w:val="26"/>
        </w:rPr>
        <w:t xml:space="preserve"> </w:t>
      </w:r>
      <w:r w:rsidR="00493A80" w:rsidRPr="00E71F91">
        <w:rPr>
          <w:b/>
          <w:sz w:val="26"/>
          <w:szCs w:val="26"/>
        </w:rPr>
        <w:t xml:space="preserve">MIKRO </w:t>
      </w:r>
    </w:p>
    <w:p w:rsidR="00E71F91" w:rsidRDefault="00493A80" w:rsidP="00802F54">
      <w:pPr>
        <w:spacing w:after="0" w:line="240" w:lineRule="auto"/>
        <w:jc w:val="center"/>
        <w:rPr>
          <w:b/>
          <w:sz w:val="26"/>
          <w:szCs w:val="26"/>
        </w:rPr>
      </w:pPr>
      <w:r w:rsidRPr="00E71F91">
        <w:rPr>
          <w:b/>
          <w:sz w:val="26"/>
          <w:szCs w:val="26"/>
        </w:rPr>
        <w:t xml:space="preserve">SUBJEKTIMA MALOG GOSPODARSTVA ZA SANIRANJE </w:t>
      </w:r>
    </w:p>
    <w:p w:rsidR="002B6631" w:rsidRDefault="00493A80" w:rsidP="00802F54">
      <w:pPr>
        <w:spacing w:after="0" w:line="240" w:lineRule="auto"/>
        <w:jc w:val="center"/>
        <w:rPr>
          <w:b/>
          <w:sz w:val="26"/>
          <w:szCs w:val="26"/>
        </w:rPr>
      </w:pPr>
      <w:r w:rsidRPr="00E71F91">
        <w:rPr>
          <w:b/>
          <w:sz w:val="26"/>
          <w:szCs w:val="26"/>
        </w:rPr>
        <w:t>POSLJEDICA POTRESA</w:t>
      </w:r>
      <w:r w:rsidRPr="00E71F91">
        <w:rPr>
          <w:sz w:val="26"/>
          <w:szCs w:val="26"/>
        </w:rPr>
        <w:t xml:space="preserve"> </w:t>
      </w:r>
      <w:r w:rsidR="00EF3E8E" w:rsidRPr="00E71F91">
        <w:rPr>
          <w:b/>
          <w:sz w:val="26"/>
          <w:szCs w:val="26"/>
        </w:rPr>
        <w:t xml:space="preserve">NA PODRUČJU </w:t>
      </w:r>
    </w:p>
    <w:p w:rsidR="00EE586B" w:rsidRPr="00E71F91" w:rsidRDefault="00EF3E8E" w:rsidP="00802F54">
      <w:pPr>
        <w:spacing w:after="0" w:line="240" w:lineRule="auto"/>
        <w:jc w:val="center"/>
        <w:rPr>
          <w:b/>
          <w:sz w:val="26"/>
          <w:szCs w:val="26"/>
        </w:rPr>
      </w:pPr>
      <w:r w:rsidRPr="00E71F91">
        <w:rPr>
          <w:b/>
          <w:sz w:val="26"/>
          <w:szCs w:val="26"/>
        </w:rPr>
        <w:t>SISAČKO-</w:t>
      </w:r>
      <w:r w:rsidR="00493A80" w:rsidRPr="00E71F91">
        <w:rPr>
          <w:b/>
          <w:sz w:val="26"/>
          <w:szCs w:val="26"/>
        </w:rPr>
        <w:t>MOSLAVAČKE ŽUPANIJE</w:t>
      </w:r>
      <w:r w:rsidR="00365BAA">
        <w:rPr>
          <w:b/>
          <w:sz w:val="26"/>
          <w:szCs w:val="26"/>
        </w:rPr>
        <w:t>“</w:t>
      </w:r>
      <w:r w:rsidR="00493A80" w:rsidRPr="00E71F91">
        <w:rPr>
          <w:b/>
          <w:sz w:val="26"/>
          <w:szCs w:val="26"/>
        </w:rPr>
        <w:t xml:space="preserve"> </w:t>
      </w:r>
    </w:p>
    <w:p w:rsidR="00A07707" w:rsidRPr="003F4B26" w:rsidRDefault="00A07707" w:rsidP="00AD13C2"/>
    <w:p w:rsidR="00EF3E8E" w:rsidRDefault="008809D5" w:rsidP="00EF3E8E">
      <w:pPr>
        <w:pStyle w:val="ListParagraph"/>
        <w:numPr>
          <w:ilvl w:val="0"/>
          <w:numId w:val="20"/>
        </w:numPr>
        <w:rPr>
          <w:b/>
          <w:bCs/>
        </w:rPr>
      </w:pPr>
      <w:r>
        <w:rPr>
          <w:b/>
          <w:bCs/>
        </w:rPr>
        <w:t>OPĆE ODREDBE</w:t>
      </w:r>
    </w:p>
    <w:p w:rsidR="00EF3E8E" w:rsidRDefault="00EF3E8E" w:rsidP="00EF3E8E">
      <w:pPr>
        <w:jc w:val="both"/>
      </w:pPr>
      <w:r w:rsidRPr="00EF3E8E">
        <w:t>Ovaj Program predstavlja akt na temelju kojeg se dodjeljuju potpore male vrije</w:t>
      </w:r>
      <w:r w:rsidR="009F2C37">
        <w:t>dnosti u smislu članka 3. stavka</w:t>
      </w:r>
      <w:r w:rsidRPr="00EF3E8E">
        <w:t xml:space="preserve"> 2. </w:t>
      </w:r>
      <w:r w:rsidR="009F2C37">
        <w:t>Uredbe</w:t>
      </w:r>
      <w:r w:rsidR="006A7B41" w:rsidRPr="00916C71">
        <w:t xml:space="preserve"> Komisije (EU) br. 1407/2013 </w:t>
      </w:r>
      <w:proofErr w:type="spellStart"/>
      <w:r w:rsidR="006A7B41" w:rsidRPr="00916C71">
        <w:t>оd</w:t>
      </w:r>
      <w:proofErr w:type="spellEnd"/>
      <w:r w:rsidR="006A7B41" w:rsidRPr="00916C71">
        <w:t xml:space="preserve"> 18. prosinca 2013. o primjeni članaka 107. i 108. Ugovora o funkcioniranju Europske unije na </w:t>
      </w:r>
      <w:r w:rsidR="006A7B41">
        <w:t xml:space="preserve">de </w:t>
      </w:r>
      <w:proofErr w:type="spellStart"/>
      <w:r w:rsidR="006A7B41">
        <w:t>minimis</w:t>
      </w:r>
      <w:proofErr w:type="spellEnd"/>
      <w:r w:rsidR="006A7B41">
        <w:t xml:space="preserve"> potpore</w:t>
      </w:r>
      <w:r w:rsidR="006A7B41" w:rsidRPr="00916C71">
        <w:t xml:space="preserve"> (SL L 352, 24.12.2013</w:t>
      </w:r>
      <w:r w:rsidR="006A7B41">
        <w:t>.), kako je posljednji put izmijenjena Uredbom</w:t>
      </w:r>
      <w:r w:rsidR="006A7B41" w:rsidRPr="00916C71">
        <w:t xml:space="preserve"> Komisije (EU) 2020/972 od 2. srpnja 2020. o izmjeni Uredbe (EU) br. 1407/2013 u pogledu njezina produljenja i o izmjeni Uredbe (EU) br. 651/2014 u pogledu njezina produljenja i odgovarajućih prilagodbi (SL L</w:t>
      </w:r>
      <w:r w:rsidR="006A7B41">
        <w:t xml:space="preserve"> 215, 7.7.2020.</w:t>
      </w:r>
      <w:r w:rsidR="009F2C37">
        <w:t>,</w:t>
      </w:r>
      <w:r w:rsidR="006A7B41">
        <w:t xml:space="preserve"> </w:t>
      </w:r>
      <w:r w:rsidRPr="00413D1A">
        <w:t>str. 3.)</w:t>
      </w:r>
      <w:r w:rsidR="000E7A32" w:rsidRPr="00413D1A">
        <w:t xml:space="preserve"> (</w:t>
      </w:r>
      <w:r w:rsidR="000E7A32">
        <w:t xml:space="preserve">u daljnjem tekstu: </w:t>
      </w:r>
      <w:r w:rsidR="00687A85">
        <w:t>Uredba (EU) br. 1407/2013)</w:t>
      </w:r>
      <w:r w:rsidR="00687A85">
        <w:rPr>
          <w:rStyle w:val="FootnoteReference"/>
        </w:rPr>
        <w:footnoteReference w:id="1"/>
      </w:r>
      <w:r w:rsidR="00687A85">
        <w:t>.</w:t>
      </w:r>
    </w:p>
    <w:p w:rsidR="00932B75" w:rsidRDefault="00932B75" w:rsidP="00EF3E8E">
      <w:pPr>
        <w:jc w:val="both"/>
      </w:pPr>
      <w:r>
        <w:t>Program se donosi t</w:t>
      </w:r>
      <w:r w:rsidRPr="00932B75">
        <w:t>emeljem članka 9. stavka 1. Zakona o poticanju razvoja malog gospodarstva („Narodne novine“, br. 29/02</w:t>
      </w:r>
      <w:r w:rsidR="002574AC">
        <w:t>.</w:t>
      </w:r>
      <w:r w:rsidRPr="00932B75">
        <w:t>, 63/07</w:t>
      </w:r>
      <w:r w:rsidR="002574AC">
        <w:t>.</w:t>
      </w:r>
      <w:r w:rsidRPr="00932B75">
        <w:t>, 53/12</w:t>
      </w:r>
      <w:r w:rsidR="002574AC">
        <w:t>.</w:t>
      </w:r>
      <w:r w:rsidRPr="00932B75">
        <w:t>, 56/13</w:t>
      </w:r>
      <w:r w:rsidR="002574AC">
        <w:t>.</w:t>
      </w:r>
      <w:r w:rsidRPr="00932B75">
        <w:t xml:space="preserve"> i 121/16</w:t>
      </w:r>
      <w:r w:rsidR="002574AC">
        <w:t>.</w:t>
      </w:r>
      <w:r w:rsidRPr="00932B75">
        <w:t>), članka 23. Zakona o proračunu („Narodne novine“, br. 87/08</w:t>
      </w:r>
      <w:r w:rsidR="002574AC">
        <w:t>.</w:t>
      </w:r>
      <w:r w:rsidRPr="00932B75">
        <w:t>, 136/12</w:t>
      </w:r>
      <w:r w:rsidR="002574AC">
        <w:t>.</w:t>
      </w:r>
      <w:r w:rsidRPr="00932B75">
        <w:t xml:space="preserve"> i 15/15</w:t>
      </w:r>
      <w:r w:rsidR="002574AC">
        <w:t>.</w:t>
      </w:r>
      <w:r w:rsidRPr="00932B75">
        <w:t>), a u skladu s</w:t>
      </w:r>
      <w:r w:rsidR="00493989">
        <w:t>a</w:t>
      </w:r>
      <w:r w:rsidRPr="00932B75">
        <w:t xml:space="preserve"> Zakonom o državnim potporama („Narodne novine“, br. 47/14</w:t>
      </w:r>
      <w:r w:rsidR="002574AC">
        <w:t>.</w:t>
      </w:r>
      <w:r w:rsidRPr="00932B75">
        <w:t xml:space="preserve"> i 69/17</w:t>
      </w:r>
      <w:r w:rsidR="002574AC">
        <w:t>.</w:t>
      </w:r>
      <w:r w:rsidRPr="00932B75">
        <w:t>) i Odlukom o proglašenju katastrofe na području pogođenom potre</w:t>
      </w:r>
      <w:r w:rsidR="000D1C5D">
        <w:t>som („Narodne novine“, broj 1/</w:t>
      </w:r>
      <w:r w:rsidRPr="00932B75">
        <w:t>21</w:t>
      </w:r>
      <w:r w:rsidR="002574AC">
        <w:t>.</w:t>
      </w:r>
      <w:r w:rsidRPr="00932B75">
        <w:t>)</w:t>
      </w:r>
      <w:r>
        <w:t>.</w:t>
      </w:r>
    </w:p>
    <w:p w:rsidR="008809D5" w:rsidRPr="008809D5" w:rsidRDefault="008809D5" w:rsidP="008809D5">
      <w:pPr>
        <w:spacing w:after="120" w:line="276" w:lineRule="auto"/>
        <w:ind w:right="-1"/>
        <w:jc w:val="both"/>
        <w:rPr>
          <w:rFonts w:eastAsia="Calibri"/>
        </w:rPr>
      </w:pPr>
      <w:r w:rsidRPr="008809D5">
        <w:rPr>
          <w:rFonts w:eastAsia="Calibri"/>
        </w:rPr>
        <w:t>Za potrebe ovog</w:t>
      </w:r>
      <w:r w:rsidR="00493989">
        <w:rPr>
          <w:rFonts w:eastAsia="Calibri"/>
        </w:rPr>
        <w:t>a</w:t>
      </w:r>
      <w:r w:rsidRPr="008809D5">
        <w:rPr>
          <w:rFonts w:eastAsia="Calibri"/>
        </w:rPr>
        <w:t xml:space="preserve"> Programa primjenjuju se sljedeće definicije:</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sidDel="002169A7">
        <w:rPr>
          <w:rFonts w:eastAsia="Calibri"/>
          <w:b/>
        </w:rPr>
        <w:t xml:space="preserve"> </w:t>
      </w:r>
      <w:r w:rsidRPr="008809D5">
        <w:rPr>
          <w:rFonts w:eastAsia="Calibri"/>
          <w:b/>
        </w:rPr>
        <w:t>„program potpora”</w:t>
      </w:r>
      <w:r w:rsidR="007875CA">
        <w:rPr>
          <w:rFonts w:eastAsia="Calibri"/>
        </w:rPr>
        <w:t xml:space="preserve"> </w:t>
      </w:r>
      <w:r w:rsidR="007875CA" w:rsidRPr="008809D5">
        <w:rPr>
          <w:rFonts w:eastAsia="Calibri"/>
        </w:rPr>
        <w:t xml:space="preserve">– </w:t>
      </w:r>
      <w:r w:rsidRPr="008809D5">
        <w:rPr>
          <w:rFonts w:eastAsia="Calibri"/>
        </w:rPr>
        <w:t>svaki akt na temelju kojeg se mogu, bez potrebe za daljnjim provedbenim mjerama, dodjeljivati pojedinačne potpore poduzetnicima koji su utvrđeni u aktu na općenit i apstraktan način te svaki akt na temelju kojeg se potpora koja nije povezana s određenim projektom može dodijeliti jednom poduzetniku ili više njih na neodređeno razdo</w:t>
      </w:r>
      <w:r w:rsidR="009108C9">
        <w:rPr>
          <w:rFonts w:eastAsia="Calibri"/>
        </w:rPr>
        <w:t>blje i/ili u neodređenom iznosu</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„intenzitet potpore“</w:t>
      </w:r>
      <w:r w:rsidRPr="008809D5">
        <w:rPr>
          <w:rFonts w:eastAsia="Calibri"/>
        </w:rPr>
        <w:t xml:space="preserve"> – bruto iznos potpore izražen kao postotak prihvatljivih troškova, prije od</w:t>
      </w:r>
      <w:r w:rsidR="009108C9">
        <w:rPr>
          <w:rFonts w:eastAsia="Calibri"/>
        </w:rPr>
        <w:t>bitka poreza ili drugih naknada</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 xml:space="preserve">„mikro, malo i srednje poduzeće – MSP“ </w:t>
      </w:r>
      <w:r w:rsidRPr="008809D5">
        <w:rPr>
          <w:rFonts w:eastAsia="Calibri"/>
        </w:rPr>
        <w:t xml:space="preserve">– subjekti definirani u Prilogu 1. </w:t>
      </w:r>
      <w:r w:rsidR="00DA5D2A">
        <w:rPr>
          <w:rFonts w:eastAsia="Calibri"/>
        </w:rPr>
        <w:t>Uredbe</w:t>
      </w:r>
      <w:r w:rsidR="00DA5D2A" w:rsidRPr="00DA5D2A">
        <w:rPr>
          <w:rFonts w:eastAsia="Calibri"/>
        </w:rPr>
        <w:t xml:space="preserve"> Komisije br</w:t>
      </w:r>
      <w:r w:rsidR="009F0F4F">
        <w:rPr>
          <w:rFonts w:eastAsia="Calibri"/>
        </w:rPr>
        <w:t>. 651/2014, od 17. lipnja 2014.</w:t>
      </w:r>
      <w:r w:rsidR="00DA5D2A" w:rsidRPr="00DA5D2A">
        <w:rPr>
          <w:rFonts w:eastAsia="Calibri"/>
        </w:rPr>
        <w:t xml:space="preserve"> o ocjenjivanju određenih kategorija potpora spojivima s unutarnjim tržištem u primjeni članaka 107. i 108. Ugovora o funkcioniranju Europske unije </w:t>
      </w:r>
      <w:r w:rsidR="00F229E5" w:rsidRPr="00F229E5">
        <w:rPr>
          <w:rFonts w:eastAsia="Calibri"/>
        </w:rPr>
        <w:t xml:space="preserve">(Tekst značajan za EGP) </w:t>
      </w:r>
      <w:r w:rsidR="00DA5D2A" w:rsidRPr="00DA5D2A">
        <w:rPr>
          <w:rFonts w:eastAsia="Calibri"/>
        </w:rPr>
        <w:t>(SL L 187, 26.6.20</w:t>
      </w:r>
      <w:r w:rsidR="00DA5D2A">
        <w:rPr>
          <w:rFonts w:eastAsia="Calibri"/>
        </w:rPr>
        <w:t>14.)</w:t>
      </w:r>
      <w:r w:rsidR="00DA5D2A" w:rsidRPr="00DA5D2A">
        <w:rPr>
          <w:rFonts w:eastAsia="Calibri"/>
        </w:rPr>
        <w:t xml:space="preserve">, kako je </w:t>
      </w:r>
      <w:r w:rsidR="00DA5D2A">
        <w:rPr>
          <w:rFonts w:eastAsia="Calibri"/>
        </w:rPr>
        <w:t xml:space="preserve">posljednji put </w:t>
      </w:r>
      <w:r w:rsidR="00DA5D2A" w:rsidRPr="00DA5D2A">
        <w:rPr>
          <w:rFonts w:eastAsia="Calibri"/>
        </w:rPr>
        <w:t>izmijenjena Uredbom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w:t>
      </w:r>
      <w:r w:rsidR="00DA5D2A">
        <w:rPr>
          <w:rFonts w:eastAsia="Calibri"/>
        </w:rPr>
        <w:t>6.2017.</w:t>
      </w:r>
      <w:r w:rsidR="00DA5D2A" w:rsidRPr="00DA5D2A">
        <w:rPr>
          <w:rFonts w:eastAsia="Calibri"/>
        </w:rPr>
        <w:t>)</w:t>
      </w:r>
      <w:r w:rsidR="00DA5D2A">
        <w:rPr>
          <w:rFonts w:eastAsia="Calibri"/>
        </w:rPr>
        <w:t xml:space="preserve"> (u daljnjem tekstu: </w:t>
      </w:r>
      <w:r w:rsidR="00EB66A6">
        <w:rPr>
          <w:rFonts w:eastAsia="Calibri"/>
        </w:rPr>
        <w:t>Uredba (EU) br. 651/2014</w:t>
      </w:r>
      <w:r w:rsidR="00DA5D2A">
        <w:rPr>
          <w:rFonts w:eastAsia="Calibri"/>
        </w:rPr>
        <w:t>)</w:t>
      </w:r>
      <w:r w:rsidR="00F229E5">
        <w:rPr>
          <w:rStyle w:val="FootnoteReference"/>
          <w:rFonts w:eastAsia="Calibri"/>
        </w:rPr>
        <w:footnoteReference w:id="2"/>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 xml:space="preserve">„jedan poduzetnik (jedinstveni poduzetnik)“ </w:t>
      </w:r>
      <w:r w:rsidRPr="008809D5">
        <w:rPr>
          <w:rFonts w:eastAsia="Calibri"/>
        </w:rPr>
        <w:t>– sukladno definiciji u članku 2. stavk</w:t>
      </w:r>
      <w:r w:rsidR="00493989">
        <w:rPr>
          <w:rFonts w:eastAsia="Calibri"/>
        </w:rPr>
        <w:t>u</w:t>
      </w:r>
      <w:r w:rsidRPr="008809D5">
        <w:rPr>
          <w:rFonts w:eastAsia="Calibri"/>
        </w:rPr>
        <w:t xml:space="preserve"> 2. </w:t>
      </w:r>
      <w:r w:rsidR="00687A85">
        <w:t>Uredbe (EU) br. 1407/2013</w:t>
      </w:r>
    </w:p>
    <w:p w:rsidR="008809D5" w:rsidRPr="008809D5" w:rsidRDefault="008809D5" w:rsidP="002574AC">
      <w:pPr>
        <w:numPr>
          <w:ilvl w:val="0"/>
          <w:numId w:val="11"/>
        </w:numPr>
        <w:spacing w:after="0" w:line="276" w:lineRule="auto"/>
        <w:ind w:left="567" w:right="-1" w:hanging="567"/>
        <w:contextualSpacing/>
        <w:jc w:val="both"/>
        <w:rPr>
          <w:rFonts w:eastAsia="Calibri"/>
          <w:b/>
        </w:rPr>
      </w:pPr>
      <w:r w:rsidRPr="008809D5" w:rsidDel="002B1CB6">
        <w:rPr>
          <w:rFonts w:eastAsia="Calibri"/>
          <w:b/>
        </w:rPr>
        <w:t xml:space="preserve"> </w:t>
      </w:r>
      <w:r w:rsidRPr="008809D5">
        <w:rPr>
          <w:rFonts w:eastAsia="Calibri"/>
          <w:b/>
        </w:rPr>
        <w:t xml:space="preserve">„ista ili slična djelatnost“ – </w:t>
      </w:r>
      <w:r w:rsidRPr="008809D5">
        <w:rPr>
          <w:rFonts w:eastAsia="Calibri"/>
        </w:rPr>
        <w:t xml:space="preserve">djelatnost koja je obuhvaćena istim razredom (četveroznamenkasta brojčana oznaka) statističke klasifikacije ekonomskih djelatnosti NACE </w:t>
      </w:r>
      <w:proofErr w:type="spellStart"/>
      <w:r w:rsidRPr="008809D5">
        <w:rPr>
          <w:rFonts w:eastAsia="Calibri"/>
        </w:rPr>
        <w:t>Rev</w:t>
      </w:r>
      <w:proofErr w:type="spellEnd"/>
      <w:r w:rsidRPr="008809D5">
        <w:rPr>
          <w:rFonts w:eastAsia="Calibri"/>
        </w:rPr>
        <w:t xml:space="preserve">. 2, kako je utvrđeno u Uredbi (EZ) br. 1893/2006 Europskog parlamenta i Vijeća od 20. prosinca 2006. o utvrđivanju statističke klasifikacije ekonomskih djelatnosti NACE </w:t>
      </w:r>
      <w:proofErr w:type="spellStart"/>
      <w:r w:rsidRPr="008809D5">
        <w:rPr>
          <w:rFonts w:eastAsia="Calibri"/>
        </w:rPr>
        <w:t>Revision</w:t>
      </w:r>
      <w:proofErr w:type="spellEnd"/>
      <w:r w:rsidRPr="008809D5">
        <w:rPr>
          <w:rFonts w:eastAsia="Calibri"/>
        </w:rPr>
        <w:t xml:space="preserve"> 2 te izmjeni Uredbe Vijeća (EEZ) br. 3037/90 kao i određenih uredbi EZ-a o posebnim statističkim područjima </w:t>
      </w:r>
      <w:r w:rsidR="000840CD">
        <w:rPr>
          <w:rFonts w:eastAsia="Calibri"/>
        </w:rPr>
        <w:t>(</w:t>
      </w:r>
      <w:r w:rsidRPr="008809D5">
        <w:rPr>
          <w:rFonts w:eastAsia="Calibri"/>
        </w:rPr>
        <w:t>SL L 393, 30.12.2006., str. 1.</w:t>
      </w:r>
      <w:r w:rsidR="00D312C2">
        <w:rPr>
          <w:rFonts w:eastAsia="Calibri"/>
        </w:rPr>
        <w:t>)</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„primarna poljoprivredna proizvodnja“</w:t>
      </w:r>
      <w:r w:rsidRPr="008809D5">
        <w:rPr>
          <w:rFonts w:eastAsia="Calibri"/>
        </w:rPr>
        <w:t xml:space="preserve"> – proizvodnja proizvoda iz tla ili stočarstva navedenih u Prilogu I. </w:t>
      </w:r>
      <w:r w:rsidRPr="00E21898">
        <w:rPr>
          <w:rFonts w:eastAsia="Calibri"/>
        </w:rPr>
        <w:t xml:space="preserve">Ugovora </w:t>
      </w:r>
      <w:r w:rsidR="000840CD" w:rsidRPr="00E21898">
        <w:rPr>
          <w:rFonts w:eastAsia="Calibri"/>
        </w:rPr>
        <w:t>o funkcioniranju Europske unije</w:t>
      </w:r>
      <w:r w:rsidR="000840CD">
        <w:rPr>
          <w:rStyle w:val="FootnoteReference"/>
          <w:rFonts w:eastAsia="Calibri"/>
        </w:rPr>
        <w:footnoteReference w:id="3"/>
      </w:r>
      <w:r w:rsidR="00042154">
        <w:rPr>
          <w:rFonts w:eastAsia="Calibri"/>
        </w:rPr>
        <w:t xml:space="preserve"> </w:t>
      </w:r>
      <w:r w:rsidR="00042154" w:rsidRPr="00042154">
        <w:rPr>
          <w:rFonts w:eastAsia="Calibri"/>
          <w:sz w:val="23"/>
          <w:szCs w:val="23"/>
        </w:rPr>
        <w:t xml:space="preserve"> </w:t>
      </w:r>
      <w:r w:rsidR="00042154">
        <w:rPr>
          <w:rFonts w:eastAsia="Calibri"/>
          <w:sz w:val="23"/>
          <w:szCs w:val="23"/>
        </w:rPr>
        <w:t>(SL C 202 (2016))</w:t>
      </w:r>
      <w:r w:rsidR="000840CD">
        <w:rPr>
          <w:rFonts w:eastAsia="Calibri"/>
        </w:rPr>
        <w:t xml:space="preserve"> </w:t>
      </w:r>
      <w:r w:rsidRPr="008809D5">
        <w:rPr>
          <w:rFonts w:eastAsia="Calibri"/>
        </w:rPr>
        <w:t>bez obavljanja dodatnih radnji kojima bi se pr</w:t>
      </w:r>
      <w:r w:rsidR="009108C9">
        <w:rPr>
          <w:rFonts w:eastAsia="Calibri"/>
        </w:rPr>
        <w:t>omijenila priroda tih proizvoda</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„poljoprivredni proizvodi“</w:t>
      </w:r>
      <w:r w:rsidRPr="008809D5">
        <w:rPr>
          <w:rFonts w:eastAsia="Calibri"/>
        </w:rPr>
        <w:t xml:space="preserve"> – proizvodi navedeni u Prilogu I. Ugovora</w:t>
      </w:r>
      <w:r w:rsidR="000840CD">
        <w:rPr>
          <w:rFonts w:eastAsia="Calibri"/>
        </w:rPr>
        <w:t xml:space="preserve"> </w:t>
      </w:r>
      <w:r w:rsidR="000840CD" w:rsidRPr="00E21898">
        <w:rPr>
          <w:rFonts w:eastAsia="Calibri"/>
        </w:rPr>
        <w:t>o funkcioniranju Europske unije</w:t>
      </w:r>
      <w:r w:rsidR="005C13D1">
        <w:rPr>
          <w:rFonts w:eastAsia="Calibri"/>
        </w:rPr>
        <w:t xml:space="preserve"> </w:t>
      </w:r>
      <w:r w:rsidR="00493989">
        <w:rPr>
          <w:rFonts w:eastAsia="Calibri"/>
          <w:sz w:val="23"/>
          <w:szCs w:val="23"/>
        </w:rPr>
        <w:t>(SL C 202 (2016</w:t>
      </w:r>
      <w:r w:rsidR="005C13D1">
        <w:rPr>
          <w:rFonts w:eastAsia="Calibri"/>
          <w:sz w:val="23"/>
          <w:szCs w:val="23"/>
        </w:rPr>
        <w:t>)</w:t>
      </w:r>
      <w:r w:rsidRPr="008809D5">
        <w:rPr>
          <w:rFonts w:eastAsia="Calibri"/>
        </w:rPr>
        <w:t>, osim proizvoda ribarstva i akvakulture navedenih u Prilogu I. Uredbe (EU) br. 1379/2013 Europskog parlamenta i Vijeća od 11. prosinca 2013.</w:t>
      </w:r>
      <w:r w:rsidR="00D312C2" w:rsidRPr="00D312C2">
        <w:t xml:space="preserve"> </w:t>
      </w:r>
      <w:r w:rsidR="00D312C2">
        <w:t>(SL L 354/1, 28.12.2013)</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„prerada poljoprivrednih proizvoda”</w:t>
      </w:r>
      <w:r w:rsidRPr="008809D5">
        <w:rPr>
          <w:rFonts w:eastAsia="Calibri"/>
        </w:rPr>
        <w:t xml:space="preserve"> – </w:t>
      </w:r>
      <w:r w:rsidR="00F30806" w:rsidRPr="00F30806">
        <w:rPr>
          <w:rFonts w:eastAsia="Calibri"/>
        </w:rPr>
        <w:t>svi postupci prerade poljoprivrednog proizvoda koji za ishod imaju proizvod koji je također poljoprivredni proizvod, osim u poljoprivrednim djelatnostima potrebnima za pripremu životinjskog ili biljnog proizvoda za prvu prodaju</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 xml:space="preserve"> „stavljanje na tržište poljoprivrednih proizvoda” </w:t>
      </w:r>
      <w:r w:rsidRPr="008809D5">
        <w:rPr>
          <w:rFonts w:eastAsia="Calibri"/>
        </w:rPr>
        <w:t>–</w:t>
      </w:r>
      <w:r w:rsidRPr="008809D5">
        <w:rPr>
          <w:rFonts w:eastAsia="Calibri"/>
          <w:b/>
        </w:rPr>
        <w:t xml:space="preserve"> </w:t>
      </w:r>
      <w:r w:rsidR="0024021F" w:rsidRPr="0024021F">
        <w:rPr>
          <w:rFonts w:eastAsia="Calibri"/>
        </w:rPr>
        <w:t>držanje ili izlaganje s ciljem prodaje, ponuda za prodaju, isporuka ili bilo koji drugi način stavljanja na tržište, osim prve prodaje primarnog proizvođača preprodavačima ili prerađivačima te svih aktivnosti kojima se proizvod priprema za takvu prvu prodaju; prodaja primarnog proizvođača krajnjim potrošačima smatra se stavljanjem na tržište ako se odvija u posebnim prostorima namijenjenima za tu svrhu</w:t>
      </w:r>
    </w:p>
    <w:p w:rsidR="008809D5" w:rsidRPr="008809D5" w:rsidRDefault="008809D5" w:rsidP="002574AC">
      <w:pPr>
        <w:numPr>
          <w:ilvl w:val="0"/>
          <w:numId w:val="11"/>
        </w:numPr>
        <w:autoSpaceDE w:val="0"/>
        <w:autoSpaceDN w:val="0"/>
        <w:adjustRightInd w:val="0"/>
        <w:spacing w:after="0" w:line="276" w:lineRule="auto"/>
        <w:ind w:left="567" w:right="-1" w:hanging="567"/>
        <w:contextualSpacing/>
        <w:jc w:val="both"/>
        <w:rPr>
          <w:rFonts w:eastAsia="Calibri"/>
        </w:rPr>
      </w:pPr>
      <w:r w:rsidRPr="008809D5">
        <w:rPr>
          <w:rFonts w:eastAsia="Calibri"/>
          <w:b/>
        </w:rPr>
        <w:t xml:space="preserve"> „sektor ribarstva i akvakulture“ </w:t>
      </w:r>
      <w:r w:rsidRPr="008809D5">
        <w:rPr>
          <w:rFonts w:eastAsia="Calibri"/>
        </w:rPr>
        <w:t>– sektor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Uredbe Vijeća (EZ) br. 1184/2006 i (EZ) br. 1224/2009 i stavljanju izvan snage Uredbe Vijeća (EZ) br. 104/2000 (SL L 354, 28.12.2013., str. 1.)</w:t>
      </w:r>
      <w:r w:rsidR="00EA2040">
        <w:rPr>
          <w:rFonts w:eastAsia="Calibri"/>
        </w:rPr>
        <w:t xml:space="preserve"> (u daljnjem tekstu Uredba (EU) </w:t>
      </w:r>
      <w:r w:rsidR="00EA2040" w:rsidRPr="00EA2040">
        <w:rPr>
          <w:rFonts w:eastAsia="Calibri"/>
        </w:rPr>
        <w:t>br. 1379/2013</w:t>
      </w:r>
      <w:r w:rsidR="00EA2040">
        <w:rPr>
          <w:rFonts w:eastAsia="Calibri"/>
        </w:rPr>
        <w:t>)</w:t>
      </w:r>
      <w:r w:rsidRPr="008809D5">
        <w:rPr>
          <w:rFonts w:eastAsia="Calibri"/>
        </w:rPr>
        <w:t xml:space="preserve"> </w:t>
      </w:r>
      <w:r w:rsidR="00B31E41" w:rsidRPr="00B31E41">
        <w:rPr>
          <w:rFonts w:eastAsia="Calibri"/>
        </w:rPr>
        <w:t>uz iznimku potpora za usavršavanje, potpora za pristup MSP-ova financiranju, potpora u području istraživanja i razvoja, potpora za inovacije za MSP-ove, potpora za radnike u nepovoljnom položaju i radnike s invaliditetom te regionalnih potpora za ulaganje u najudaljenijim regijama i regionalnih operativnih programa potpore</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 xml:space="preserve"> „potpora djelatnostima povezanima s izvozom u treće zemlje ili države članice“ </w:t>
      </w:r>
      <w:r w:rsidRPr="008809D5">
        <w:rPr>
          <w:rFonts w:eastAsia="Calibri"/>
        </w:rPr>
        <w:t>–</w:t>
      </w:r>
      <w:r w:rsidRPr="008809D5">
        <w:rPr>
          <w:rFonts w:eastAsia="Calibri"/>
          <w:b/>
        </w:rPr>
        <w:t xml:space="preserve"> </w:t>
      </w:r>
      <w:r w:rsidRPr="008809D5">
        <w:rPr>
          <w:rFonts w:eastAsia="Calibri"/>
        </w:rPr>
        <w:t>potpore izravno povezane s izvezenim količinama, uspostavom i radom distribucijske mreže ili ostalim tekućim troškovima po</w:t>
      </w:r>
      <w:r w:rsidR="009108C9">
        <w:rPr>
          <w:rFonts w:eastAsia="Calibri"/>
        </w:rPr>
        <w:t>vezanima s izvoznom djelatnošću</w:t>
      </w:r>
    </w:p>
    <w:p w:rsidR="008809D5" w:rsidRPr="008809D5" w:rsidRDefault="008809D5" w:rsidP="002574AC">
      <w:pPr>
        <w:numPr>
          <w:ilvl w:val="0"/>
          <w:numId w:val="11"/>
        </w:numPr>
        <w:spacing w:after="0" w:line="276" w:lineRule="auto"/>
        <w:ind w:left="567" w:right="-1" w:hanging="567"/>
        <w:contextualSpacing/>
        <w:jc w:val="both"/>
        <w:rPr>
          <w:rFonts w:eastAsia="Calibri"/>
        </w:rPr>
      </w:pPr>
      <w:r w:rsidRPr="008809D5">
        <w:rPr>
          <w:rFonts w:eastAsia="Calibri"/>
          <w:b/>
        </w:rPr>
        <w:t xml:space="preserve"> „poduzetnik u teškoćama“</w:t>
      </w:r>
      <w:r w:rsidRPr="008809D5">
        <w:rPr>
          <w:rFonts w:eastAsia="Calibri"/>
        </w:rPr>
        <w:t xml:space="preserve"> – </w:t>
      </w:r>
      <w:r w:rsidR="00493989">
        <w:rPr>
          <w:rFonts w:eastAsia="Calibri"/>
        </w:rPr>
        <w:t>p</w:t>
      </w:r>
      <w:r w:rsidRPr="008809D5">
        <w:rPr>
          <w:rFonts w:eastAsia="Calibri"/>
        </w:rPr>
        <w:t>oduzetnik u teškoćama je poduzetnik za kojeg vrijedi najmanje jedna od sljedećih okolnosti</w:t>
      </w:r>
      <w:r w:rsidR="00413D1A">
        <w:rPr>
          <w:rFonts w:eastAsia="Calibri"/>
        </w:rPr>
        <w:t xml:space="preserve"> kako </w:t>
      </w:r>
      <w:r w:rsidR="00EB66A6">
        <w:rPr>
          <w:rFonts w:eastAsia="Calibri"/>
        </w:rPr>
        <w:t>je</w:t>
      </w:r>
      <w:r w:rsidR="00413D1A" w:rsidRPr="00EB66A6">
        <w:rPr>
          <w:rFonts w:eastAsia="Calibri"/>
        </w:rPr>
        <w:t xml:space="preserve"> definirano</w:t>
      </w:r>
      <w:r w:rsidR="00EB66A6" w:rsidRPr="00EB66A6">
        <w:rPr>
          <w:rFonts w:eastAsia="Calibri"/>
        </w:rPr>
        <w:t xml:space="preserve"> </w:t>
      </w:r>
      <w:r w:rsidR="00EB66A6">
        <w:rPr>
          <w:rFonts w:eastAsia="Calibri"/>
        </w:rPr>
        <w:t>Uredbom (EU) br. 651/2014</w:t>
      </w:r>
      <w:r w:rsidRPr="00EB66A6">
        <w:rPr>
          <w:rFonts w:eastAsia="Calibri"/>
        </w:rPr>
        <w:t>:</w:t>
      </w:r>
    </w:p>
    <w:p w:rsidR="00413D1A" w:rsidRPr="00413D1A" w:rsidRDefault="009108C9" w:rsidP="00FF26E4">
      <w:pPr>
        <w:tabs>
          <w:tab w:val="left" w:pos="851"/>
        </w:tabs>
        <w:spacing w:after="0" w:line="240" w:lineRule="auto"/>
        <w:ind w:left="851" w:hanging="425"/>
        <w:contextualSpacing/>
        <w:jc w:val="both"/>
        <w:rPr>
          <w:rFonts w:eastAsia="Calibri"/>
        </w:rPr>
      </w:pPr>
      <w:r>
        <w:rPr>
          <w:rFonts w:eastAsia="Calibri"/>
        </w:rPr>
        <w:t>(a)</w:t>
      </w:r>
      <w:r>
        <w:rPr>
          <w:rFonts w:eastAsia="Calibri"/>
        </w:rPr>
        <w:tab/>
      </w:r>
      <w:r w:rsidR="00413D1A" w:rsidRPr="00413D1A">
        <w:rPr>
          <w:rFonts w:eastAsia="Calibri"/>
        </w:rPr>
        <w:t>u slučaju društva s ograničenom odgovornošću</w:t>
      </w:r>
      <w:r w:rsidR="00E615D8">
        <w:rPr>
          <w:rFonts w:eastAsia="Calibri"/>
        </w:rPr>
        <w:t xml:space="preserve"> </w:t>
      </w:r>
      <w:r w:rsidR="00E615D8" w:rsidRPr="00E615D8">
        <w:rPr>
          <w:rFonts w:eastAsia="Calibri"/>
        </w:rPr>
        <w:t>(osim MSP-a koji postoji manje od tri godine</w:t>
      </w:r>
      <w:r w:rsidR="00E615D8">
        <w:rPr>
          <w:rFonts w:eastAsia="Calibri"/>
        </w:rPr>
        <w:t>)</w:t>
      </w:r>
      <w:r w:rsidR="00413D1A" w:rsidRPr="00413D1A">
        <w:rPr>
          <w:rFonts w:eastAsia="Calibri"/>
        </w:rPr>
        <w:t xml:space="preserve">, </w:t>
      </w:r>
      <w:r w:rsidR="00E615D8" w:rsidRPr="00E615D8">
        <w:rPr>
          <w:rFonts w:eastAsia="Calibri"/>
        </w:rPr>
        <w:t xml:space="preserve">ako je više od polovice njegova vlasničkog kapitala izgubljeno zbog </w:t>
      </w:r>
      <w:r w:rsidR="00E615D8">
        <w:rPr>
          <w:rFonts w:eastAsia="Calibri"/>
        </w:rPr>
        <w:t>prenesenih gubitaka</w:t>
      </w:r>
    </w:p>
    <w:p w:rsidR="00413D1A" w:rsidRPr="00413D1A" w:rsidRDefault="00FF26E4" w:rsidP="00FF26E4">
      <w:pPr>
        <w:tabs>
          <w:tab w:val="left" w:pos="851"/>
        </w:tabs>
        <w:spacing w:after="0" w:line="240" w:lineRule="auto"/>
        <w:ind w:left="851" w:hanging="425"/>
        <w:contextualSpacing/>
        <w:jc w:val="both"/>
        <w:rPr>
          <w:rFonts w:eastAsia="Calibri"/>
        </w:rPr>
      </w:pPr>
      <w:r>
        <w:rPr>
          <w:rFonts w:eastAsia="Calibri"/>
        </w:rPr>
        <w:t>(b)</w:t>
      </w:r>
      <w:r>
        <w:rPr>
          <w:rFonts w:eastAsia="Calibri"/>
        </w:rPr>
        <w:tab/>
      </w:r>
      <w:r w:rsidR="006D6D3C">
        <w:rPr>
          <w:rFonts w:eastAsia="Calibri"/>
        </w:rPr>
        <w:t>u</w:t>
      </w:r>
      <w:r w:rsidR="006D6D3C" w:rsidRPr="006D6D3C">
        <w:rPr>
          <w:rFonts w:eastAsia="Calibri"/>
        </w:rPr>
        <w:t xml:space="preserve"> slučaju društva u kojem najmanje nekoliko članova snosi neograničenu odgovornost za dug društva (osim MSP-a koji postoji manje od tri godine</w:t>
      </w:r>
      <w:r w:rsidR="006D6D3C">
        <w:rPr>
          <w:rFonts w:eastAsia="Calibri"/>
        </w:rPr>
        <w:t xml:space="preserve">), </w:t>
      </w:r>
      <w:r w:rsidR="006D6D3C" w:rsidRPr="006D6D3C">
        <w:rPr>
          <w:rFonts w:eastAsia="Calibri"/>
        </w:rPr>
        <w:t xml:space="preserve">ako je više od polovice njegova kapitala navedenog u financijskom izvještaju društva izgubljeno zbog prenesenih </w:t>
      </w:r>
      <w:r>
        <w:rPr>
          <w:rFonts w:eastAsia="Calibri"/>
        </w:rPr>
        <w:t>gubitaka</w:t>
      </w:r>
    </w:p>
    <w:p w:rsidR="000E5B21" w:rsidRDefault="00413D1A" w:rsidP="00FF26E4">
      <w:pPr>
        <w:tabs>
          <w:tab w:val="left" w:pos="851"/>
        </w:tabs>
        <w:spacing w:after="0" w:line="240" w:lineRule="auto"/>
        <w:ind w:left="851" w:hanging="425"/>
        <w:contextualSpacing/>
        <w:jc w:val="both"/>
        <w:rPr>
          <w:rFonts w:eastAsia="Calibri"/>
        </w:rPr>
      </w:pPr>
      <w:r w:rsidRPr="00413D1A">
        <w:rPr>
          <w:rFonts w:eastAsia="Calibri"/>
        </w:rPr>
        <w:t>(c)</w:t>
      </w:r>
      <w:r w:rsidR="00FF26E4">
        <w:rPr>
          <w:rFonts w:eastAsia="Calibri"/>
        </w:rPr>
        <w:tab/>
      </w:r>
      <w:r w:rsidR="00775E4E" w:rsidRPr="00775E4E">
        <w:rPr>
          <w:rFonts w:eastAsia="Calibri"/>
        </w:rPr>
        <w:t>ako se nad poduzetnikom provodi cjelokupni stečajni postupak ili on ispunjava kriterije u skladu s nacionalnim pravom da se nad njim provede cjelokupni stečajni postupak na zahtjev vjerovnika</w:t>
      </w:r>
    </w:p>
    <w:p w:rsidR="009D61AF" w:rsidRDefault="009D61AF" w:rsidP="00FF26E4">
      <w:pPr>
        <w:tabs>
          <w:tab w:val="left" w:pos="851"/>
        </w:tabs>
        <w:spacing w:after="0" w:line="240" w:lineRule="auto"/>
        <w:ind w:left="851" w:hanging="425"/>
        <w:contextualSpacing/>
        <w:jc w:val="both"/>
        <w:rPr>
          <w:rFonts w:eastAsia="Calibri"/>
        </w:rPr>
      </w:pPr>
      <w:r w:rsidRPr="009D61AF">
        <w:rPr>
          <w:rFonts w:eastAsia="Calibri"/>
        </w:rPr>
        <w:t>(d)</w:t>
      </w:r>
      <w:r w:rsidR="00FF26E4">
        <w:rPr>
          <w:rFonts w:eastAsia="Calibri"/>
        </w:rPr>
        <w:tab/>
      </w:r>
      <w:r>
        <w:rPr>
          <w:rFonts w:eastAsia="Calibri"/>
        </w:rPr>
        <w:t>a</w:t>
      </w:r>
      <w:r w:rsidRPr="009D61AF">
        <w:rPr>
          <w:rFonts w:eastAsia="Calibri"/>
        </w:rPr>
        <w:t xml:space="preserve">ko je poduzetnik primio potporu za sanaciju, a još nije nadoknadio zajam ili okončao jamstvo, ili je primio potporu za restrukturiranje, a još je </w:t>
      </w:r>
      <w:r w:rsidR="003D1D16">
        <w:rPr>
          <w:rFonts w:eastAsia="Calibri"/>
        </w:rPr>
        <w:t>podložan planu restrukturiranja.</w:t>
      </w:r>
    </w:p>
    <w:p w:rsidR="00413D1A" w:rsidRDefault="00413D1A" w:rsidP="00413D1A">
      <w:pPr>
        <w:spacing w:after="0" w:line="240" w:lineRule="auto"/>
        <w:ind w:left="993" w:hanging="142"/>
        <w:contextualSpacing/>
        <w:jc w:val="both"/>
        <w:rPr>
          <w:b/>
          <w:bCs/>
        </w:rPr>
      </w:pPr>
    </w:p>
    <w:p w:rsidR="001C0670" w:rsidRDefault="001C0670" w:rsidP="001C0670">
      <w:pPr>
        <w:pStyle w:val="ListParagraph"/>
        <w:numPr>
          <w:ilvl w:val="0"/>
          <w:numId w:val="20"/>
        </w:numPr>
        <w:jc w:val="both"/>
        <w:rPr>
          <w:b/>
        </w:rPr>
      </w:pPr>
      <w:r w:rsidRPr="001C0670">
        <w:rPr>
          <w:b/>
        </w:rPr>
        <w:t>PODRUČJE PRIMJENE</w:t>
      </w:r>
    </w:p>
    <w:p w:rsidR="00FF26E4" w:rsidRPr="001C0670" w:rsidRDefault="00FF26E4" w:rsidP="00FF26E4">
      <w:pPr>
        <w:pStyle w:val="ListParagraph"/>
        <w:ind w:left="360"/>
        <w:jc w:val="both"/>
        <w:rPr>
          <w:b/>
        </w:rPr>
      </w:pPr>
    </w:p>
    <w:p w:rsidR="001C0670" w:rsidRPr="001C0670" w:rsidRDefault="001C0670" w:rsidP="001C0670">
      <w:pPr>
        <w:pStyle w:val="ListParagraph"/>
        <w:numPr>
          <w:ilvl w:val="0"/>
          <w:numId w:val="23"/>
        </w:numPr>
        <w:jc w:val="both"/>
      </w:pPr>
      <w:r w:rsidRPr="001C0670">
        <w:t>U okviru ovog</w:t>
      </w:r>
      <w:r w:rsidR="00493989">
        <w:t>a</w:t>
      </w:r>
      <w:r w:rsidRPr="001C0670">
        <w:t xml:space="preserve"> Programa, potpora male vrijednosti se ne može dodijeliti:</w:t>
      </w:r>
    </w:p>
    <w:p w:rsidR="001C0670" w:rsidRDefault="001C0670" w:rsidP="001C0670">
      <w:pPr>
        <w:pStyle w:val="ListParagraph"/>
        <w:numPr>
          <w:ilvl w:val="0"/>
          <w:numId w:val="22"/>
        </w:numPr>
        <w:shd w:val="clear" w:color="auto" w:fill="FFFFFF"/>
        <w:spacing w:before="120" w:after="0" w:line="312" w:lineRule="atLeast"/>
        <w:jc w:val="both"/>
      </w:pPr>
      <w:r w:rsidRPr="001C0670">
        <w:t>poduzetnicima koji djeluju u sektorima ribarstva i akvakulture</w:t>
      </w:r>
    </w:p>
    <w:p w:rsidR="001C0670" w:rsidRDefault="001C0670" w:rsidP="001C0670">
      <w:pPr>
        <w:pStyle w:val="ListParagraph"/>
        <w:numPr>
          <w:ilvl w:val="0"/>
          <w:numId w:val="22"/>
        </w:numPr>
        <w:shd w:val="clear" w:color="auto" w:fill="FFFFFF"/>
        <w:spacing w:before="120" w:after="0" w:line="312" w:lineRule="atLeast"/>
        <w:jc w:val="both"/>
      </w:pPr>
      <w:r w:rsidRPr="001C0670">
        <w:t>poduzetnicima koji djeluju u primarnoj proizvodnji poljoprivrednih proizvoda</w:t>
      </w:r>
    </w:p>
    <w:p w:rsidR="001C0670" w:rsidRDefault="001C0670" w:rsidP="001C0670">
      <w:pPr>
        <w:pStyle w:val="ListParagraph"/>
        <w:numPr>
          <w:ilvl w:val="0"/>
          <w:numId w:val="22"/>
        </w:numPr>
        <w:shd w:val="clear" w:color="auto" w:fill="FFFFFF"/>
        <w:spacing w:before="120" w:after="0" w:line="312" w:lineRule="atLeast"/>
        <w:jc w:val="both"/>
      </w:pPr>
      <w:r w:rsidRPr="001C0670">
        <w:t>poduzetnicima koji djeluju u sektoru prerade i stavljanja na tržište poljoprivrednih proizvoda, u sljedećim slučajevima:</w:t>
      </w:r>
    </w:p>
    <w:p w:rsidR="001C0670" w:rsidRDefault="001C0670" w:rsidP="00FF26E4">
      <w:pPr>
        <w:pStyle w:val="ListParagraph"/>
        <w:shd w:val="clear" w:color="auto" w:fill="FFFFFF"/>
        <w:tabs>
          <w:tab w:val="left" w:pos="2268"/>
        </w:tabs>
        <w:spacing w:before="120" w:after="0" w:line="312" w:lineRule="atLeast"/>
        <w:ind w:left="2268" w:hanging="828"/>
        <w:jc w:val="both"/>
      </w:pPr>
      <w:r>
        <w:t>i.</w:t>
      </w:r>
      <w:r>
        <w:tab/>
        <w:t xml:space="preserve">ako je iznos potpore fiksno utvrđen na temelju cijene ili količine takvih proizvoda kupljenih od primarnih proizvođača odnosno koje na tržište </w:t>
      </w:r>
      <w:r w:rsidR="00FF26E4">
        <w:t>stavljaju poduzetnici u pitanju</w:t>
      </w:r>
    </w:p>
    <w:p w:rsidR="001C0670" w:rsidRDefault="001C0670" w:rsidP="00FF26E4">
      <w:pPr>
        <w:pStyle w:val="ListParagraph"/>
        <w:shd w:val="clear" w:color="auto" w:fill="FFFFFF"/>
        <w:tabs>
          <w:tab w:val="left" w:pos="2268"/>
        </w:tabs>
        <w:spacing w:before="120" w:after="0" w:line="312" w:lineRule="atLeast"/>
        <w:ind w:left="2268" w:hanging="828"/>
        <w:jc w:val="both"/>
      </w:pPr>
      <w:r>
        <w:t>ii.</w:t>
      </w:r>
      <w:r>
        <w:tab/>
        <w:t>ako su potpore uvjetovane njihovim djelomičnim ili potpunim pren</w:t>
      </w:r>
      <w:r w:rsidR="00FF26E4">
        <w:t>ošenjem na primarne proizvođače</w:t>
      </w:r>
    </w:p>
    <w:p w:rsidR="001C0670" w:rsidRDefault="001C0670" w:rsidP="001C0670">
      <w:pPr>
        <w:pStyle w:val="ListParagraph"/>
        <w:numPr>
          <w:ilvl w:val="0"/>
          <w:numId w:val="22"/>
        </w:numPr>
        <w:shd w:val="clear" w:color="auto" w:fill="FFFFFF"/>
        <w:spacing w:before="120" w:after="0" w:line="312" w:lineRule="atLeast"/>
        <w:jc w:val="both"/>
      </w:pPr>
      <w:r w:rsidRPr="001C0670">
        <w:t>za djelatnosti usmjerene izvozu u treće zemlje ili države članice, odnosno potpore koje su izravno povezane s izvezenim količinama, s uspostavom i funkcioniranjem distribucijske mreže ili s drugim tekućim troškovima povezanima s izvoznom djelatnošću</w:t>
      </w:r>
    </w:p>
    <w:p w:rsidR="001C0670" w:rsidRDefault="009363A5" w:rsidP="001C0670">
      <w:pPr>
        <w:pStyle w:val="ListParagraph"/>
        <w:numPr>
          <w:ilvl w:val="0"/>
          <w:numId w:val="22"/>
        </w:numPr>
        <w:shd w:val="clear" w:color="auto" w:fill="FFFFFF"/>
        <w:spacing w:before="120" w:after="0" w:line="312" w:lineRule="atLeast"/>
        <w:jc w:val="both"/>
      </w:pPr>
      <w:r>
        <w:t xml:space="preserve">kao </w:t>
      </w:r>
      <w:r w:rsidR="001C0670" w:rsidRPr="001C0670">
        <w:t>potpor</w:t>
      </w:r>
      <w:r>
        <w:t>a</w:t>
      </w:r>
      <w:r w:rsidR="001C0670" w:rsidRPr="001C0670">
        <w:t xml:space="preserve"> koj</w:t>
      </w:r>
      <w:r>
        <w:t>a</w:t>
      </w:r>
      <w:r w:rsidR="001C0670" w:rsidRPr="001C0670">
        <w:t xml:space="preserve"> se uvjetuj</w:t>
      </w:r>
      <w:r>
        <w:t>e</w:t>
      </w:r>
      <w:r w:rsidR="001C0670" w:rsidRPr="001C0670">
        <w:t xml:space="preserve"> uporabom domaćih proizvoda umjesto uvezenih</w:t>
      </w:r>
    </w:p>
    <w:p w:rsidR="000B2040" w:rsidRPr="001C0670" w:rsidRDefault="000B2040" w:rsidP="000B2040">
      <w:pPr>
        <w:pStyle w:val="ListParagraph"/>
        <w:shd w:val="clear" w:color="auto" w:fill="FFFFFF"/>
        <w:spacing w:before="120" w:after="0" w:line="312" w:lineRule="atLeast"/>
        <w:jc w:val="both"/>
      </w:pPr>
    </w:p>
    <w:p w:rsidR="0008555A" w:rsidRDefault="001C0670" w:rsidP="000E12B0">
      <w:pPr>
        <w:pStyle w:val="ListParagraph"/>
        <w:numPr>
          <w:ilvl w:val="0"/>
          <w:numId w:val="23"/>
        </w:numPr>
        <w:jc w:val="both"/>
      </w:pPr>
      <w:r w:rsidRPr="001C0670">
        <w:t xml:space="preserve">Ako poduzetnik djeluje u sektorima navedenima u stavku 1. točkama (a), (b) ili (c) i djeluje u jednom ili više sektora ili ima druge djelatnosti koje su obuhvaćene područjem primjene </w:t>
      </w:r>
      <w:r w:rsidR="00386553" w:rsidRPr="00386553">
        <w:t>ovog</w:t>
      </w:r>
      <w:r w:rsidR="00493989">
        <w:t>a</w:t>
      </w:r>
      <w:r w:rsidR="00386553" w:rsidRPr="00386553">
        <w:t xml:space="preserve"> Programa, ovaj Program </w:t>
      </w:r>
      <w:r w:rsidR="00386553">
        <w:t xml:space="preserve">se </w:t>
      </w:r>
      <w:r w:rsidRPr="001C0670">
        <w:t xml:space="preserve">primjenjuje na potpore dodijeljene u vezi s tim drugim sektorima ili djelatnostima, uz uvjet da </w:t>
      </w:r>
      <w:r w:rsidR="00386553">
        <w:t>se</w:t>
      </w:r>
      <w:r w:rsidRPr="001C0670">
        <w:t xml:space="preserve"> na primjeren način</w:t>
      </w:r>
      <w:r w:rsidR="00386553">
        <w:t xml:space="preserve"> osigura</w:t>
      </w:r>
      <w:r w:rsidRPr="001C0670">
        <w:t xml:space="preserve">, na primjer razdvajanjem djelatnosti ili troškova, da djelatnosti u sektorima koji su isključeni iz područja primjene </w:t>
      </w:r>
      <w:r w:rsidR="00386553" w:rsidRPr="00386553">
        <w:t>ovog</w:t>
      </w:r>
      <w:r w:rsidR="00493989">
        <w:t>a</w:t>
      </w:r>
      <w:r w:rsidR="00386553" w:rsidRPr="00386553">
        <w:t xml:space="preserve"> Programa</w:t>
      </w:r>
      <w:r w:rsidRPr="001C0670">
        <w:t xml:space="preserve"> ne ostvaruju korist od</w:t>
      </w:r>
      <w:r w:rsidR="00386553">
        <w:t xml:space="preserve"> </w:t>
      </w:r>
      <w:r w:rsidRPr="001C0670">
        <w:t xml:space="preserve">de </w:t>
      </w:r>
      <w:proofErr w:type="spellStart"/>
      <w:r w:rsidRPr="001C0670">
        <w:t>minimis</w:t>
      </w:r>
      <w:proofErr w:type="spellEnd"/>
      <w:r w:rsidR="00386553">
        <w:t xml:space="preserve"> </w:t>
      </w:r>
      <w:r w:rsidRPr="001C0670">
        <w:t xml:space="preserve">potpore dodijeljene na temelju </w:t>
      </w:r>
      <w:r w:rsidR="00386553" w:rsidRPr="00386553">
        <w:t>ovog</w:t>
      </w:r>
      <w:r w:rsidR="00493989">
        <w:t>a</w:t>
      </w:r>
      <w:r w:rsidR="00386553" w:rsidRPr="00386553">
        <w:t xml:space="preserve"> Programa</w:t>
      </w:r>
      <w:r w:rsidRPr="001C0670">
        <w:t>.</w:t>
      </w:r>
    </w:p>
    <w:p w:rsidR="000B2040" w:rsidRDefault="000B2040" w:rsidP="000B2040">
      <w:pPr>
        <w:jc w:val="both"/>
      </w:pPr>
    </w:p>
    <w:p w:rsidR="00493989" w:rsidRDefault="00493989" w:rsidP="000B2040">
      <w:pPr>
        <w:jc w:val="both"/>
      </w:pPr>
    </w:p>
    <w:p w:rsidR="00493989" w:rsidRPr="000E12B0" w:rsidRDefault="00493989" w:rsidP="000B2040">
      <w:pPr>
        <w:jc w:val="both"/>
      </w:pPr>
    </w:p>
    <w:p w:rsidR="006637E0" w:rsidRPr="00EF3E8E" w:rsidRDefault="001C0670" w:rsidP="00EF3E8E">
      <w:pPr>
        <w:jc w:val="both"/>
        <w:rPr>
          <w:b/>
        </w:rPr>
      </w:pPr>
      <w:r>
        <w:rPr>
          <w:b/>
        </w:rPr>
        <w:t>3</w:t>
      </w:r>
      <w:r w:rsidR="00EF3E8E" w:rsidRPr="00EF3E8E">
        <w:rPr>
          <w:b/>
        </w:rPr>
        <w:t xml:space="preserve">. </w:t>
      </w:r>
      <w:r w:rsidR="006637E0" w:rsidRPr="00EF3E8E">
        <w:rPr>
          <w:b/>
        </w:rPr>
        <w:t>PREDMET PROGRAMA</w:t>
      </w:r>
    </w:p>
    <w:p w:rsidR="005C28C3" w:rsidRDefault="00805457" w:rsidP="009B2703">
      <w:pPr>
        <w:jc w:val="both"/>
      </w:pPr>
      <w:r>
        <w:t xml:space="preserve">Ovim Programom utvrđuje se način dodjele bespovratnih potpora mikro subjektima malog gospodarstva na području Sisačko-moslavačke županije </w:t>
      </w:r>
      <w:r w:rsidR="005C28C3" w:rsidRPr="003F4B26">
        <w:t>koji</w:t>
      </w:r>
      <w:r w:rsidR="00EC5331">
        <w:t xml:space="preserve"> su pretrpjeli </w:t>
      </w:r>
      <w:r w:rsidR="00EC5331">
        <w:rPr>
          <w:color w:val="231F20"/>
          <w:shd w:val="clear" w:color="auto" w:fill="FFFFFF"/>
        </w:rPr>
        <w:t xml:space="preserve">posljedice katastrofe uzrokovane potresom </w:t>
      </w:r>
      <w:r w:rsidR="001539F6">
        <w:rPr>
          <w:color w:val="231F20"/>
          <w:shd w:val="clear" w:color="auto" w:fill="FFFFFF"/>
        </w:rPr>
        <w:t>sa svrhom osiguranja</w:t>
      </w:r>
      <w:r w:rsidR="00EC5331">
        <w:rPr>
          <w:color w:val="231F20"/>
          <w:shd w:val="clear" w:color="auto" w:fill="FFFFFF"/>
        </w:rPr>
        <w:t xml:space="preserve"> osnovnih uvjeta za</w:t>
      </w:r>
      <w:r w:rsidR="005C28C3" w:rsidRPr="003F4B26">
        <w:t xml:space="preserve"> nastavak obavljanja gospodarskih aktivnosti</w:t>
      </w:r>
      <w:r w:rsidR="005C28C3">
        <w:t>.</w:t>
      </w:r>
      <w:r w:rsidR="00EC5331" w:rsidRPr="00EC5331">
        <w:t xml:space="preserve"> </w:t>
      </w:r>
    </w:p>
    <w:p w:rsidR="00D76677" w:rsidRPr="003F4B26" w:rsidRDefault="00D76677" w:rsidP="00D76677">
      <w:pPr>
        <w:spacing w:after="0"/>
        <w:jc w:val="both"/>
      </w:pPr>
    </w:p>
    <w:p w:rsidR="006637E0" w:rsidRPr="003F4B26" w:rsidRDefault="001C0670" w:rsidP="006637E0">
      <w:pPr>
        <w:rPr>
          <w:b/>
        </w:rPr>
      </w:pPr>
      <w:r>
        <w:rPr>
          <w:b/>
        </w:rPr>
        <w:t>4</w:t>
      </w:r>
      <w:r w:rsidR="006637E0" w:rsidRPr="003F4B26">
        <w:rPr>
          <w:b/>
        </w:rPr>
        <w:t>. IZNOS PRORAČUNSKIH SREDSTAVA</w:t>
      </w:r>
    </w:p>
    <w:p w:rsidR="001E3ACF" w:rsidRDefault="001E3ACF" w:rsidP="003F4B26">
      <w:pPr>
        <w:shd w:val="clear" w:color="auto" w:fill="FFFFFF"/>
        <w:spacing w:after="225" w:line="240" w:lineRule="auto"/>
        <w:jc w:val="both"/>
        <w:textAlignment w:val="baseline"/>
        <w:rPr>
          <w:rFonts w:ascii="Minion Pro" w:eastAsia="Times New Roman" w:hAnsi="Minion Pro"/>
          <w:color w:val="000000"/>
        </w:rPr>
      </w:pPr>
      <w:r w:rsidRPr="001E3ACF">
        <w:rPr>
          <w:rFonts w:ascii="Minion Pro" w:eastAsia="Times New Roman" w:hAnsi="Minion Pro"/>
          <w:color w:val="000000"/>
        </w:rPr>
        <w:t xml:space="preserve">Davatelj potpore je Ministarstvo </w:t>
      </w:r>
      <w:r w:rsidRPr="003F4B26">
        <w:rPr>
          <w:rFonts w:ascii="Minion Pro" w:eastAsia="Times New Roman" w:hAnsi="Minion Pro"/>
          <w:color w:val="000000"/>
        </w:rPr>
        <w:t>gospodarstva i održivog razvoja</w:t>
      </w:r>
      <w:r w:rsidR="00011607">
        <w:rPr>
          <w:rFonts w:ascii="Minion Pro" w:eastAsia="Times New Roman" w:hAnsi="Minion Pro"/>
          <w:color w:val="000000"/>
        </w:rPr>
        <w:t xml:space="preserve"> (u daljnjem tekstu</w:t>
      </w:r>
      <w:r w:rsidR="000B2040">
        <w:rPr>
          <w:rFonts w:ascii="Minion Pro" w:eastAsia="Times New Roman" w:hAnsi="Minion Pro"/>
          <w:color w:val="000000"/>
        </w:rPr>
        <w:t>:</w:t>
      </w:r>
      <w:r w:rsidR="00011607">
        <w:rPr>
          <w:rFonts w:ascii="Minion Pro" w:eastAsia="Times New Roman" w:hAnsi="Minion Pro"/>
          <w:color w:val="000000"/>
        </w:rPr>
        <w:t xml:space="preserve"> Ministarstvo)</w:t>
      </w:r>
      <w:r>
        <w:rPr>
          <w:rFonts w:ascii="Minion Pro" w:eastAsia="Times New Roman" w:hAnsi="Minion Pro"/>
          <w:color w:val="000000"/>
        </w:rPr>
        <w:t>.</w:t>
      </w:r>
    </w:p>
    <w:p w:rsidR="002B6631" w:rsidRDefault="007D178E" w:rsidP="00EA4D45">
      <w:pPr>
        <w:shd w:val="clear" w:color="auto" w:fill="FFFFFF"/>
        <w:spacing w:after="225" w:line="240" w:lineRule="auto"/>
        <w:jc w:val="both"/>
        <w:textAlignment w:val="baseline"/>
        <w:rPr>
          <w:rFonts w:ascii="Minion Pro" w:eastAsia="Times New Roman" w:hAnsi="Minion Pro"/>
          <w:color w:val="000000"/>
        </w:rPr>
      </w:pPr>
      <w:r>
        <w:t xml:space="preserve">Na razdjelu Ministarstva na aktivnosti A648087 </w:t>
      </w:r>
      <w:r w:rsidRPr="00B8088B">
        <w:t>Poticanje konkurentnosti poduzetništva i obrta</w:t>
      </w:r>
      <w:r w:rsidRPr="003F4B26">
        <w:rPr>
          <w:rFonts w:ascii="Minion Pro" w:eastAsia="Times New Roman" w:hAnsi="Minion Pro"/>
          <w:color w:val="000000"/>
        </w:rPr>
        <w:t xml:space="preserve"> </w:t>
      </w:r>
      <w:r w:rsidR="003F4B26" w:rsidRPr="00EC5331">
        <w:rPr>
          <w:rFonts w:eastAsia="Times New Roman"/>
          <w:color w:val="000000"/>
        </w:rPr>
        <w:t>osiguran</w:t>
      </w:r>
      <w:r w:rsidR="003F4B26" w:rsidRPr="00EC5331">
        <w:rPr>
          <w:rFonts w:ascii="Minion Pro" w:eastAsia="Times New Roman" w:hAnsi="Minion Pro"/>
          <w:color w:val="000000"/>
        </w:rPr>
        <w:t xml:space="preserve"> je </w:t>
      </w:r>
      <w:r w:rsidR="000C3F76">
        <w:rPr>
          <w:rFonts w:ascii="Minion Pro" w:eastAsia="Times New Roman" w:hAnsi="Minion Pro"/>
          <w:color w:val="000000"/>
        </w:rPr>
        <w:t>iznos od</w:t>
      </w:r>
      <w:r w:rsidR="003F4B26" w:rsidRPr="00EC5331">
        <w:rPr>
          <w:rFonts w:ascii="Minion Pro" w:eastAsia="Times New Roman" w:hAnsi="Minion Pro"/>
          <w:color w:val="000000"/>
        </w:rPr>
        <w:t xml:space="preserve"> 10.000.000,00 kuna</w:t>
      </w:r>
      <w:r w:rsidR="003F4B26" w:rsidRPr="003F4B26">
        <w:rPr>
          <w:rFonts w:ascii="Minion Pro" w:eastAsia="Times New Roman" w:hAnsi="Minion Pro"/>
          <w:color w:val="000000"/>
        </w:rPr>
        <w:t xml:space="preserve"> za dodjelu bespovratnih potpora temeljem ovoga Programa</w:t>
      </w:r>
      <w:r>
        <w:rPr>
          <w:rFonts w:ascii="Minion Pro" w:eastAsia="Times New Roman" w:hAnsi="Minion Pro"/>
          <w:color w:val="000000"/>
        </w:rPr>
        <w:t xml:space="preserve"> u 2021. godini</w:t>
      </w:r>
      <w:r w:rsidR="003F4B26" w:rsidRPr="003F4B26">
        <w:rPr>
          <w:rFonts w:ascii="Minion Pro" w:eastAsia="Times New Roman" w:hAnsi="Minion Pro"/>
          <w:color w:val="000000"/>
        </w:rPr>
        <w:t>.</w:t>
      </w:r>
      <w:r w:rsidR="004A1225">
        <w:rPr>
          <w:rFonts w:ascii="Minion Pro" w:eastAsia="Times New Roman" w:hAnsi="Minion Pro"/>
          <w:color w:val="000000"/>
        </w:rPr>
        <w:t xml:space="preserve"> </w:t>
      </w:r>
    </w:p>
    <w:p w:rsidR="00EA4D45" w:rsidRPr="00EA4D45" w:rsidRDefault="00EA4D45" w:rsidP="00EA4D45">
      <w:pPr>
        <w:shd w:val="clear" w:color="auto" w:fill="FFFFFF"/>
        <w:spacing w:after="0" w:line="240" w:lineRule="auto"/>
        <w:jc w:val="both"/>
        <w:textAlignment w:val="baseline"/>
        <w:rPr>
          <w:rFonts w:ascii="Minion Pro" w:eastAsia="Times New Roman" w:hAnsi="Minion Pro"/>
          <w:color w:val="000000"/>
        </w:rPr>
      </w:pPr>
    </w:p>
    <w:p w:rsidR="006637E0" w:rsidRPr="003F4B26" w:rsidRDefault="001C0670" w:rsidP="006637E0">
      <w:pPr>
        <w:rPr>
          <w:b/>
        </w:rPr>
      </w:pPr>
      <w:r>
        <w:rPr>
          <w:b/>
        </w:rPr>
        <w:t>5</w:t>
      </w:r>
      <w:r w:rsidR="006637E0" w:rsidRPr="003F4B26">
        <w:rPr>
          <w:b/>
        </w:rPr>
        <w:t>. KORISNICI</w:t>
      </w:r>
    </w:p>
    <w:p w:rsidR="002A2E52" w:rsidRPr="002A2E52" w:rsidRDefault="002A2E52" w:rsidP="009B2703">
      <w:pPr>
        <w:jc w:val="both"/>
        <w:rPr>
          <w:b/>
        </w:rPr>
      </w:pPr>
      <w:r w:rsidRPr="002A2E52">
        <w:rPr>
          <w:b/>
        </w:rPr>
        <w:t>Korisnici bespovratnih sredstava temeljem ovog</w:t>
      </w:r>
      <w:r w:rsidR="000B2040">
        <w:rPr>
          <w:b/>
        </w:rPr>
        <w:t>a</w:t>
      </w:r>
      <w:r w:rsidRPr="002A2E52">
        <w:rPr>
          <w:b/>
        </w:rPr>
        <w:t xml:space="preserve"> Programa mogu biti mikro poduzeća (isključivo obrti, trgovačka društva i zadruge), osim onih kojima je pretežita djelatnost prema Odluci o Nacionalnoj klasifikaciji djelatnosti </w:t>
      </w:r>
      <w:r w:rsidR="001C7BA0">
        <w:rPr>
          <w:b/>
        </w:rPr>
        <w:t>NKD 2007 (“Narodne novine”, br.</w:t>
      </w:r>
      <w:r w:rsidRPr="002A2E52">
        <w:rPr>
          <w:b/>
        </w:rPr>
        <w:t xml:space="preserve"> 58/07</w:t>
      </w:r>
      <w:r w:rsidR="001C602A">
        <w:rPr>
          <w:b/>
        </w:rPr>
        <w:t>.</w:t>
      </w:r>
      <w:r w:rsidRPr="002A2E52">
        <w:rPr>
          <w:b/>
        </w:rPr>
        <w:t xml:space="preserve"> i 72/07</w:t>
      </w:r>
      <w:r w:rsidR="001C602A">
        <w:rPr>
          <w:b/>
        </w:rPr>
        <w:t>.</w:t>
      </w:r>
      <w:r w:rsidRPr="002A2E52">
        <w:rPr>
          <w:b/>
        </w:rPr>
        <w:t>), iz Područja A–Poljoprivreda, šumarstvo i ribarstvo.</w:t>
      </w:r>
    </w:p>
    <w:p w:rsidR="009B2703" w:rsidRDefault="000E12B0" w:rsidP="009B2703">
      <w:pPr>
        <w:jc w:val="both"/>
      </w:pPr>
      <w:r>
        <w:t>Prijavu</w:t>
      </w:r>
      <w:r w:rsidR="009B2703" w:rsidRPr="003F4B26">
        <w:t xml:space="preserve"> za dodjelu bespovratne potpore može podnijeti </w:t>
      </w:r>
      <w:r w:rsidR="00641060">
        <w:t xml:space="preserve">mikro </w:t>
      </w:r>
      <w:r w:rsidR="009B2703" w:rsidRPr="003F4B26">
        <w:t xml:space="preserve">subjekt malog gospodarstva definiran Zakonom o poticanju razvoja malog gospodarstva </w:t>
      </w:r>
      <w:r w:rsidR="003A5B1C">
        <w:t>(</w:t>
      </w:r>
      <w:r w:rsidR="00D76677">
        <w:t>„Narodne novine“, br. 29/02</w:t>
      </w:r>
      <w:r w:rsidR="001C602A">
        <w:t>.</w:t>
      </w:r>
      <w:r w:rsidR="00D76677">
        <w:t>, 63/07</w:t>
      </w:r>
      <w:r w:rsidR="001C602A">
        <w:t>.</w:t>
      </w:r>
      <w:r w:rsidR="00D76677">
        <w:t>, 53/12</w:t>
      </w:r>
      <w:r w:rsidR="001C602A">
        <w:t>.</w:t>
      </w:r>
      <w:r w:rsidR="00D76677">
        <w:t>,</w:t>
      </w:r>
      <w:r w:rsidR="009B2703" w:rsidRPr="003F4B26">
        <w:t xml:space="preserve"> 56/13</w:t>
      </w:r>
      <w:r w:rsidR="001C602A">
        <w:t>.</w:t>
      </w:r>
      <w:r w:rsidR="009B2703" w:rsidRPr="003F4B26">
        <w:t xml:space="preserve"> i 121/16</w:t>
      </w:r>
      <w:r w:rsidR="001C602A">
        <w:t>.</w:t>
      </w:r>
      <w:r w:rsidR="009B2703" w:rsidRPr="003F4B26">
        <w:t>), koji je pretrpio štetu</w:t>
      </w:r>
      <w:r w:rsidR="00EC5331">
        <w:t xml:space="preserve"> od potresa na području Sisačko-</w:t>
      </w:r>
      <w:r w:rsidR="009B2703" w:rsidRPr="003F4B26">
        <w:t xml:space="preserve">moslavačke županije </w:t>
      </w:r>
      <w:r w:rsidR="009B2703" w:rsidRPr="00EC5331">
        <w:t>za koje je proglašena katastrofa</w:t>
      </w:r>
      <w:r w:rsidR="009B2703" w:rsidRPr="003F4B26">
        <w:t>, ako je bio registriran na tom području, odnosno ako je na tom području imao izdvojenu poslovnu jedinicu u trenutku proglašenja katastrofe.</w:t>
      </w:r>
    </w:p>
    <w:p w:rsidR="003A5B1C" w:rsidRPr="003A5B1C" w:rsidRDefault="003A5B1C" w:rsidP="003A5B1C">
      <w:pPr>
        <w:shd w:val="clear" w:color="auto" w:fill="FFFFFF"/>
        <w:spacing w:line="240" w:lineRule="auto"/>
        <w:jc w:val="both"/>
        <w:rPr>
          <w:rFonts w:eastAsia="Times New Roman"/>
          <w:bCs/>
          <w:color w:val="000000"/>
          <w:lang w:eastAsia="hr-HR"/>
        </w:rPr>
      </w:pPr>
      <w:r w:rsidRPr="003A5B1C">
        <w:rPr>
          <w:rFonts w:eastAsia="Times New Roman"/>
          <w:bCs/>
          <w:color w:val="000000"/>
          <w:lang w:eastAsia="hr-HR"/>
        </w:rPr>
        <w:t>Kako bi se ispunili uvjeti prihvatljivosti, Podnositelji prijave koji obavljaju gospodarsku djelatnost moraju biti pravne ili fizičke osobe koje su mikro poduzeća sukladno Preporuci Europske komisije 2003/361/EC od 6. svibnja 2003.</w:t>
      </w:r>
      <w:r w:rsidRPr="00800304">
        <w:rPr>
          <w:rStyle w:val="FootnoteReference"/>
          <w:rFonts w:ascii="Times New Roman" w:eastAsia="Times New Roman" w:hAnsi="Times New Roman"/>
          <w:bCs/>
          <w:color w:val="000000"/>
          <w:szCs w:val="16"/>
          <w:lang w:eastAsia="hr-HR"/>
        </w:rPr>
        <w:footnoteReference w:id="4"/>
      </w:r>
      <w:r w:rsidRPr="003A5B1C">
        <w:rPr>
          <w:rFonts w:eastAsia="Times New Roman"/>
          <w:bCs/>
          <w:color w:val="000000"/>
          <w:lang w:eastAsia="hr-HR"/>
        </w:rPr>
        <w:t xml:space="preserve"> uz odgovarajuću primjenu definicije malih i srednjih poduzeća dane u članku 3. stavku 4. Priloga I. Uredbe (EU) </w:t>
      </w:r>
      <w:r w:rsidR="00F229E5">
        <w:rPr>
          <w:rFonts w:eastAsia="Times New Roman"/>
          <w:bCs/>
          <w:color w:val="000000"/>
          <w:lang w:eastAsia="hr-HR"/>
        </w:rPr>
        <w:t xml:space="preserve">br. 651/2014. </w:t>
      </w:r>
      <w:r w:rsidR="00A8454B">
        <w:t>Naime, sukladno odredbi članka 3. stavka 4. Priloga I, poduzeće se ne može smatrati malim i srednjim poduzećem ako jedno ili više tijela javne vlasti zajedno ili samostalno, izravno ili neizravno upravlja s 25</w:t>
      </w:r>
      <w:r w:rsidR="00493989">
        <w:t xml:space="preserve"> </w:t>
      </w:r>
      <w:r w:rsidR="00A8454B">
        <w:t>% ili više kapitala ili glasačkih prava u dotičnom poduzeću osim u slučajevima navedenim u stavku 2. istoga članka kojima je definirano da se poduzeće može svrstati u neovisna poduzeća, to jest u ona koja nemaju drugih partnerskih poduzeća čak i ako su određeni ulagači dosegli ili premašili prag od 25</w:t>
      </w:r>
      <w:r w:rsidR="00493989">
        <w:t xml:space="preserve"> </w:t>
      </w:r>
      <w:r w:rsidR="00A8454B">
        <w:t>%, pod uvjetom da ti ulagači nisu, u smislu stavka 3., bilo samostalno ili zajednički povezani s dotičnim poduzećem, a što se između ostalog, odnosi na poduzeće koje je u vlasništvu jedinice lokalne samouprave s godišnjim proračunom manjim od 10 milijuna eura i s manje od 5.000 stanovnika.</w:t>
      </w:r>
    </w:p>
    <w:p w:rsidR="006637E0" w:rsidRDefault="003A5B1C" w:rsidP="00D76677">
      <w:pPr>
        <w:shd w:val="clear" w:color="auto" w:fill="FFFFFF"/>
        <w:spacing w:line="240" w:lineRule="auto"/>
        <w:jc w:val="both"/>
        <w:rPr>
          <w:rFonts w:eastAsia="Times New Roman"/>
          <w:color w:val="000000"/>
          <w:lang w:eastAsia="hr-HR"/>
        </w:rPr>
      </w:pPr>
      <w:r w:rsidRPr="003A5B1C">
        <w:rPr>
          <w:rFonts w:eastAsia="Times New Roman"/>
          <w:bCs/>
          <w:color w:val="000000"/>
          <w:lang w:eastAsia="hr-HR"/>
        </w:rPr>
        <w:t xml:space="preserve">Na korisnike bespovratnih potpora po ovom Programu primjenjivat će se odredbe </w:t>
      </w:r>
      <w:r w:rsidR="00687A85">
        <w:t>Uredbe (EU) br. 1407/2013</w:t>
      </w:r>
      <w:r w:rsidRPr="003A5B1C">
        <w:rPr>
          <w:rFonts w:eastAsia="Times New Roman"/>
          <w:color w:val="000000"/>
          <w:lang w:eastAsia="hr-HR"/>
        </w:rPr>
        <w:t>.</w:t>
      </w:r>
    </w:p>
    <w:p w:rsidR="00D76677" w:rsidRPr="00D76677" w:rsidRDefault="00D76677" w:rsidP="009748DB">
      <w:pPr>
        <w:shd w:val="clear" w:color="auto" w:fill="FFFFFF"/>
        <w:spacing w:after="0" w:line="240" w:lineRule="auto"/>
        <w:jc w:val="both"/>
        <w:rPr>
          <w:rFonts w:eastAsia="Times New Roman"/>
          <w:color w:val="000000"/>
          <w:lang w:eastAsia="hr-HR"/>
        </w:rPr>
      </w:pPr>
    </w:p>
    <w:p w:rsidR="00A8454B" w:rsidRPr="003F4B26" w:rsidRDefault="001C0670" w:rsidP="00A8454B">
      <w:pPr>
        <w:rPr>
          <w:b/>
        </w:rPr>
      </w:pPr>
      <w:r>
        <w:rPr>
          <w:b/>
        </w:rPr>
        <w:t>6</w:t>
      </w:r>
      <w:r w:rsidR="00A8454B" w:rsidRPr="003F4B26">
        <w:rPr>
          <w:b/>
        </w:rPr>
        <w:t>. NAMJENA BESPOVRATNIH SREDSTAVA</w:t>
      </w:r>
      <w:r w:rsidR="00A8454B">
        <w:rPr>
          <w:b/>
        </w:rPr>
        <w:t xml:space="preserve"> </w:t>
      </w:r>
    </w:p>
    <w:p w:rsidR="00F7535F" w:rsidRDefault="00A24FBA" w:rsidP="00F7535F">
      <w:r>
        <w:t>Bespovratna sredstva</w:t>
      </w:r>
      <w:r w:rsidR="00D76677">
        <w:t xml:space="preserve"> namijenjena </w:t>
      </w:r>
      <w:r>
        <w:t xml:space="preserve">su </w:t>
      </w:r>
      <w:r w:rsidR="00D76677">
        <w:t>za financiranje sljedećih aktivnosti:</w:t>
      </w:r>
    </w:p>
    <w:p w:rsidR="00950E08" w:rsidRDefault="00950E08" w:rsidP="00950E08">
      <w:pPr>
        <w:pStyle w:val="ListParagraph"/>
        <w:numPr>
          <w:ilvl w:val="0"/>
          <w:numId w:val="4"/>
        </w:numPr>
      </w:pPr>
      <w:r>
        <w:t>sanacija</w:t>
      </w:r>
      <w:r w:rsidRPr="00D37793">
        <w:t xml:space="preserve"> poslovnog prostora</w:t>
      </w:r>
    </w:p>
    <w:p w:rsidR="00950E08" w:rsidRDefault="00950E08" w:rsidP="00950E08">
      <w:pPr>
        <w:pStyle w:val="ListParagraph"/>
        <w:numPr>
          <w:ilvl w:val="0"/>
          <w:numId w:val="4"/>
        </w:numPr>
      </w:pPr>
      <w:r>
        <w:t>najam prostora</w:t>
      </w:r>
    </w:p>
    <w:p w:rsidR="00CC017C" w:rsidRDefault="00CC017C" w:rsidP="00CC017C">
      <w:pPr>
        <w:pStyle w:val="ListParagraph"/>
        <w:numPr>
          <w:ilvl w:val="0"/>
          <w:numId w:val="4"/>
        </w:numPr>
      </w:pPr>
      <w:r>
        <w:t>opremanje interijera poslovnog prostora</w:t>
      </w:r>
    </w:p>
    <w:p w:rsidR="00A8454B" w:rsidRDefault="00A8454B" w:rsidP="00D76677">
      <w:pPr>
        <w:pStyle w:val="ListParagraph"/>
        <w:numPr>
          <w:ilvl w:val="0"/>
          <w:numId w:val="4"/>
        </w:numPr>
      </w:pPr>
      <w:r>
        <w:t>nabava strojeva i opreme</w:t>
      </w:r>
    </w:p>
    <w:p w:rsidR="00A8454B" w:rsidRPr="003F4B26" w:rsidRDefault="00A8454B" w:rsidP="00A8454B">
      <w:pPr>
        <w:pStyle w:val="ListParagraph"/>
        <w:numPr>
          <w:ilvl w:val="0"/>
          <w:numId w:val="4"/>
        </w:numPr>
      </w:pPr>
      <w:r>
        <w:t xml:space="preserve">nabava </w:t>
      </w:r>
      <w:r w:rsidR="001539F6">
        <w:t>obrtnih sredstava potrebnih za obavljanje poslovne djelatnosti.</w:t>
      </w:r>
    </w:p>
    <w:p w:rsidR="00A8454B" w:rsidRPr="003F4B26" w:rsidRDefault="00A8454B" w:rsidP="00D76677">
      <w:pPr>
        <w:spacing w:after="0"/>
      </w:pPr>
    </w:p>
    <w:p w:rsidR="006637E0" w:rsidRPr="003F4B26" w:rsidRDefault="001C0670" w:rsidP="00C765E4">
      <w:pPr>
        <w:rPr>
          <w:b/>
        </w:rPr>
      </w:pPr>
      <w:r>
        <w:rPr>
          <w:b/>
        </w:rPr>
        <w:t>7</w:t>
      </w:r>
      <w:r w:rsidR="00C765E4" w:rsidRPr="003F4B26">
        <w:rPr>
          <w:b/>
        </w:rPr>
        <w:t xml:space="preserve">. </w:t>
      </w:r>
      <w:r w:rsidR="006637E0" w:rsidRPr="003F4B26">
        <w:rPr>
          <w:b/>
        </w:rPr>
        <w:t>IZNOS I INTENZITET POTPORE</w:t>
      </w:r>
    </w:p>
    <w:p w:rsidR="00DE248E" w:rsidRDefault="00DE248E" w:rsidP="003D0250">
      <w:pPr>
        <w:jc w:val="both"/>
      </w:pPr>
      <w:r w:rsidRPr="00D639C9">
        <w:t xml:space="preserve">Potpora se dodjeljuje u iznosu </w:t>
      </w:r>
      <w:r w:rsidR="000C315F">
        <w:t>do maksimalno 30.000,00 kuna</w:t>
      </w:r>
      <w:r w:rsidR="001838F8">
        <w:t xml:space="preserve"> po jednom poduzetniku</w:t>
      </w:r>
      <w:r w:rsidR="000C315F">
        <w:t>.</w:t>
      </w:r>
    </w:p>
    <w:p w:rsidR="000E19DF" w:rsidRDefault="000E19DF" w:rsidP="003D0250">
      <w:pPr>
        <w:jc w:val="both"/>
      </w:pPr>
      <w:r>
        <w:t xml:space="preserve">Intenzitet potpore </w:t>
      </w:r>
      <w:r w:rsidR="00992F02" w:rsidRPr="00992F02">
        <w:t>znači bruto iznos potpore izražen kao postotak prihvatljivih troškova, prije odbitka poreza ili drugih naknada</w:t>
      </w:r>
      <w:r w:rsidR="00992F02">
        <w:t>,</w:t>
      </w:r>
      <w:r>
        <w:t xml:space="preserve"> i može dosegnuti do 100</w:t>
      </w:r>
      <w:r w:rsidR="000B2040">
        <w:t xml:space="preserve"> </w:t>
      </w:r>
      <w:r>
        <w:t>% ukupno prihvatljivih troškova.</w:t>
      </w:r>
    </w:p>
    <w:p w:rsidR="000C315F" w:rsidRDefault="000C315F" w:rsidP="003D0250">
      <w:pPr>
        <w:jc w:val="both"/>
      </w:pPr>
      <w:r>
        <w:t>Sredstva za odobrene potpore isplaćuju se korisnicima jednokratno u ukupnom iznosu dodijeljene potpore.</w:t>
      </w:r>
    </w:p>
    <w:p w:rsidR="00A24FBA" w:rsidRDefault="00DE248E" w:rsidP="006F6D7C">
      <w:pPr>
        <w:jc w:val="both"/>
      </w:pPr>
      <w:r>
        <w:t xml:space="preserve">Potpora se ostvaruje putem sudjelovanja </w:t>
      </w:r>
      <w:r w:rsidR="00D76677">
        <w:t>u Otvorenom j</w:t>
      </w:r>
      <w:r>
        <w:t xml:space="preserve">avnom pozivu za </w:t>
      </w:r>
      <w:r w:rsidR="000E12B0">
        <w:t>„</w:t>
      </w:r>
      <w:r w:rsidR="00EF3E8E">
        <w:t>Program</w:t>
      </w:r>
      <w:r w:rsidR="00EF3E8E" w:rsidRPr="003F4B26">
        <w:rPr>
          <w:b/>
        </w:rPr>
        <w:t xml:space="preserve"> </w:t>
      </w:r>
      <w:r w:rsidR="00EF3E8E" w:rsidRPr="00EF3E8E">
        <w:t>dodjele potpora male vrijednosti</w:t>
      </w:r>
      <w:r w:rsidR="00EF3E8E">
        <w:t xml:space="preserve"> </w:t>
      </w:r>
      <w:r w:rsidR="00EF3E8E" w:rsidRPr="00EF3E8E">
        <w:t xml:space="preserve">mikro subjektima malog gospodarstva za saniranje posljedica potresa </w:t>
      </w:r>
      <w:r w:rsidR="00EF3E8E">
        <w:t>na području S</w:t>
      </w:r>
      <w:r w:rsidR="00EF3E8E" w:rsidRPr="00EF3E8E">
        <w:t>isačko-moslavačke županije</w:t>
      </w:r>
      <w:r w:rsidR="000E12B0">
        <w:t>“</w:t>
      </w:r>
      <w:r w:rsidR="00EF3E8E" w:rsidRPr="00EF3E8E">
        <w:t xml:space="preserve"> </w:t>
      </w:r>
      <w:r>
        <w:t xml:space="preserve">(u daljnjem tekstu: </w:t>
      </w:r>
      <w:r w:rsidR="00A24FBA">
        <w:t>Otvoreni j</w:t>
      </w:r>
      <w:r>
        <w:t xml:space="preserve">avni poziv) kojeg </w:t>
      </w:r>
      <w:r w:rsidR="00EF3E8E">
        <w:t xml:space="preserve">objavljuje </w:t>
      </w:r>
      <w:r>
        <w:t>Ministarstvo.</w:t>
      </w:r>
      <w:r w:rsidR="00A24FBA">
        <w:t xml:space="preserve"> </w:t>
      </w:r>
    </w:p>
    <w:p w:rsidR="00DE248E" w:rsidRDefault="00A24FBA" w:rsidP="006F6D7C">
      <w:pPr>
        <w:jc w:val="both"/>
      </w:pPr>
      <w:r>
        <w:t>Otvorenim j</w:t>
      </w:r>
      <w:r w:rsidR="00DE248E">
        <w:t>avnim pozivom određuju se rokovi</w:t>
      </w:r>
      <w:r w:rsidR="00EF3E8E">
        <w:t xml:space="preserve"> i ostali uvjeti za podnošenje Prijave.</w:t>
      </w:r>
    </w:p>
    <w:p w:rsidR="000C315F" w:rsidRPr="00BC3755" w:rsidRDefault="00DE248E" w:rsidP="009A0D42">
      <w:pPr>
        <w:jc w:val="both"/>
      </w:pPr>
      <w:r w:rsidRPr="00BC3755">
        <w:t xml:space="preserve">Bespovratne potpore dodjeljuju se sukladno </w:t>
      </w:r>
      <w:r w:rsidR="00687A85">
        <w:t xml:space="preserve">Uredbi (EU) br. 1407/2013 </w:t>
      </w:r>
      <w:r w:rsidRPr="00BC3755">
        <w:t>te su podnositelji prijave dužni uz prijavu priložiti izjavu o korištenim potporama male vrijednosti</w:t>
      </w:r>
      <w:r w:rsidR="000C315F" w:rsidRPr="00BC3755">
        <w:t xml:space="preserve">. </w:t>
      </w:r>
      <w:r w:rsidR="009A0D42" w:rsidRPr="00BC3755">
        <w:t>Gornja granica potpore male vrijednosti koja se po državi članici dodjeljuje jednom poduzetniku ne smije prelaziti 200.000 eura u tekućoj fiskalnoj godini te tijekom prethodne dvije fiskalne godine. Ukupan iznos potpore male vrijednosti koja se po državi članici dodjeljuje jednom poduzetniku koji obavlja cestovni prijevoz tereta za najamninu</w:t>
      </w:r>
      <w:r w:rsidR="000E12B0">
        <w:t xml:space="preserve"> ili naknadu ne smije premašiti </w:t>
      </w:r>
      <w:r w:rsidR="009A0D42" w:rsidRPr="00BC3755">
        <w:t>100.000 eura tijekom bilo kojeg razdoblja od tri fiskalne godine. Ta potpora male vrijednosti ne smije se koristiti za kupovinu vozila za cestovni prijevoz tereta. Gornje granice primjenjuju se bez obzira na oblik potpora male vrijednosti ili na cilj koji se namjerava postići te neovisno o tome financira li se potpora koju dodjeljuje Republika Hrvatska u cijelosti ili djelomično iz sredstava koja su podrijetlom iz Europske unije ili  iz nacionalnih sredstava Republike Hrvatske. Ako bi se dodjelom novih  potpora male vrijednosti mogla prem</w:t>
      </w:r>
      <w:r w:rsidR="007727E5">
        <w:t xml:space="preserve">ašiti </w:t>
      </w:r>
      <w:r w:rsidR="007727E5" w:rsidRPr="001A3DD0">
        <w:t>definirana</w:t>
      </w:r>
      <w:r w:rsidR="007727E5">
        <w:t xml:space="preserve"> gornja granica, </w:t>
      </w:r>
      <w:r w:rsidR="009A0D42" w:rsidRPr="00BC3755">
        <w:t>ni jedna od tih novih potpora ne može se dodijeliti temeljem ovog Programa.</w:t>
      </w:r>
    </w:p>
    <w:p w:rsidR="002B6631" w:rsidRPr="003F4B26" w:rsidRDefault="00DE248E" w:rsidP="000E12B0">
      <w:pPr>
        <w:jc w:val="both"/>
      </w:pPr>
      <w:r w:rsidRPr="00BC3755">
        <w:t xml:space="preserve">Na pitanja koja nisu uređena odredbama Programa primijenit će se odredbe </w:t>
      </w:r>
      <w:r w:rsidR="00687A85">
        <w:t>Uredbe (EU) br. 1407/2013</w:t>
      </w:r>
      <w:r w:rsidRPr="00BC3755">
        <w:t>.</w:t>
      </w:r>
    </w:p>
    <w:p w:rsidR="006637E0" w:rsidRPr="003F4B26" w:rsidRDefault="001C0670" w:rsidP="00C765E4">
      <w:pPr>
        <w:rPr>
          <w:b/>
        </w:rPr>
      </w:pPr>
      <w:r>
        <w:rPr>
          <w:b/>
        </w:rPr>
        <w:t>8</w:t>
      </w:r>
      <w:r w:rsidR="00C765E4" w:rsidRPr="003F4B26">
        <w:rPr>
          <w:b/>
        </w:rPr>
        <w:t xml:space="preserve">. </w:t>
      </w:r>
      <w:r w:rsidR="006637E0" w:rsidRPr="003F4B26">
        <w:rPr>
          <w:b/>
        </w:rPr>
        <w:t>UVJETI ZA PODNOŠENJE PRIJAVE</w:t>
      </w:r>
    </w:p>
    <w:p w:rsidR="008B1F50" w:rsidRDefault="008B1F50" w:rsidP="00D56F9C">
      <w:pPr>
        <w:jc w:val="both"/>
      </w:pPr>
      <w:r w:rsidRPr="00BC3755">
        <w:rPr>
          <w:b/>
        </w:rPr>
        <w:t>Mikro poduzeće (isključivo obrt, trgovačko društvo i zadruga), je prihvatljivi Podnositelj prijave po ovom Programu ukoliko</w:t>
      </w:r>
      <w:r w:rsidR="006C4EC5">
        <w:t>:</w:t>
      </w:r>
    </w:p>
    <w:p w:rsidR="004573F6" w:rsidRPr="003F4B26" w:rsidRDefault="00641060" w:rsidP="00D56F9C">
      <w:pPr>
        <w:jc w:val="both"/>
      </w:pPr>
      <w:r w:rsidRPr="00BC3755">
        <w:t xml:space="preserve">- </w:t>
      </w:r>
      <w:r w:rsidR="00C765E4" w:rsidRPr="00BC3755">
        <w:t xml:space="preserve">posluje i registriran je na području na kojem je proglašena katastrofa ili ima </w:t>
      </w:r>
      <w:r w:rsidR="005F4D2C">
        <w:t xml:space="preserve">izdvojenu poslovnu jedinicu na </w:t>
      </w:r>
      <w:r w:rsidR="00C765E4" w:rsidRPr="00BC3755">
        <w:t>području</w:t>
      </w:r>
      <w:r w:rsidR="005F4D2C">
        <w:t xml:space="preserve"> Sisačko-moslavačke županije</w:t>
      </w:r>
      <w:r w:rsidR="00C765E4" w:rsidRPr="00BC3755">
        <w:t xml:space="preserve"> na dan proglašenja katastrofe</w:t>
      </w:r>
    </w:p>
    <w:p w:rsidR="00C765E4" w:rsidRPr="003F4B26" w:rsidRDefault="00641060" w:rsidP="00D56F9C">
      <w:pPr>
        <w:jc w:val="both"/>
      </w:pPr>
      <w:r>
        <w:t xml:space="preserve">- </w:t>
      </w:r>
      <w:r w:rsidR="00C765E4" w:rsidRPr="003F4B26">
        <w:t>na dan proglašenja katas</w:t>
      </w:r>
      <w:r w:rsidR="007727E5">
        <w:t xml:space="preserve">trofe </w:t>
      </w:r>
      <w:r w:rsidR="000E12B0">
        <w:t xml:space="preserve">ima </w:t>
      </w:r>
      <w:r w:rsidR="007727E5">
        <w:t xml:space="preserve">zaposlenu najmanje jednu </w:t>
      </w:r>
      <w:r w:rsidR="002B6631">
        <w:t xml:space="preserve">odnosno najviše devet osoba </w:t>
      </w:r>
      <w:r w:rsidR="002B6631" w:rsidRPr="003F4B26">
        <w:t>(vlasnik obrta osiguran s osnove obrta smatra se zaposlenom osobom)</w:t>
      </w:r>
      <w:r w:rsidR="002B6631">
        <w:t>, a koji uvjet se jednako tako odnosi i na izdvojenu poslovnu jedinicu</w:t>
      </w:r>
      <w:r w:rsidR="005F4D2C">
        <w:t xml:space="preserve"> na području Sisačko-moslavačke županije</w:t>
      </w:r>
    </w:p>
    <w:p w:rsidR="000840CD" w:rsidRPr="003F4B26" w:rsidRDefault="00B21C08" w:rsidP="00D56F9C">
      <w:pPr>
        <w:jc w:val="both"/>
      </w:pPr>
      <w:r w:rsidRPr="00D54072">
        <w:t xml:space="preserve">- </w:t>
      </w:r>
      <w:r w:rsidR="00C765E4" w:rsidRPr="00D54072">
        <w:t xml:space="preserve">djelatnost </w:t>
      </w:r>
      <w:r w:rsidRPr="00D54072">
        <w:t>prijavitelja</w:t>
      </w:r>
      <w:r w:rsidR="00C765E4" w:rsidRPr="00D54072">
        <w:t xml:space="preserve"> nije primarna poljoprivredna proizvodnja (proizvodi koji su navedeni u prilogu I. Ugovora o funkcioniranju Europske unije, osim proizvoda ribarstva i akvakulture </w:t>
      </w:r>
      <w:r w:rsidR="000840CD" w:rsidRPr="00D54072">
        <w:t xml:space="preserve">kako je obuhvaćeno </w:t>
      </w:r>
      <w:r w:rsidR="00EA2040" w:rsidRPr="00D54072">
        <w:t>Uredbom</w:t>
      </w:r>
      <w:r w:rsidR="00EA2040" w:rsidRPr="00EA2040">
        <w:t xml:space="preserve"> (EU) br. 1379/2013</w:t>
      </w:r>
      <w:r w:rsidR="00EA2040">
        <w:t>)</w:t>
      </w:r>
    </w:p>
    <w:p w:rsidR="00C765E4" w:rsidRPr="003F4B26" w:rsidRDefault="00B21C08" w:rsidP="00697AA4">
      <w:pPr>
        <w:jc w:val="both"/>
      </w:pPr>
      <w:r>
        <w:t>-</w:t>
      </w:r>
      <w:r w:rsidR="00E9566A">
        <w:t xml:space="preserve"> je</w:t>
      </w:r>
      <w:r>
        <w:t xml:space="preserve"> </w:t>
      </w:r>
      <w:r w:rsidR="00697AA4">
        <w:t>u skladu je s odredbama o potporama male vrijednos</w:t>
      </w:r>
      <w:r w:rsidR="006A7B41">
        <w:t xml:space="preserve">ti sukladno </w:t>
      </w:r>
      <w:r w:rsidR="00687A85">
        <w:t>Uredbi (EU) br. 1407/2013</w:t>
      </w:r>
    </w:p>
    <w:p w:rsidR="004573F6" w:rsidRDefault="00E9566A" w:rsidP="00D56F9C">
      <w:pPr>
        <w:jc w:val="both"/>
      </w:pPr>
      <w:r>
        <w:t xml:space="preserve">- </w:t>
      </w:r>
      <w:r w:rsidR="004573F6">
        <w:t xml:space="preserve">ima </w:t>
      </w:r>
      <w:r w:rsidR="004573F6" w:rsidRPr="004573F6">
        <w:t>uvjete</w:t>
      </w:r>
      <w:r w:rsidR="004573F6">
        <w:t xml:space="preserve"> </w:t>
      </w:r>
      <w:r w:rsidR="004573F6" w:rsidRPr="004573F6">
        <w:t>za nastavak obavljanja gospodarskih aktivnosti</w:t>
      </w:r>
      <w:r w:rsidR="004573F6">
        <w:t xml:space="preserve"> </w:t>
      </w:r>
      <w:r>
        <w:t>u odgovarajućem prostoru</w:t>
      </w:r>
    </w:p>
    <w:p w:rsidR="004573F6" w:rsidRDefault="005F48F2" w:rsidP="00D56F9C">
      <w:pPr>
        <w:jc w:val="both"/>
      </w:pPr>
      <w:r>
        <w:t xml:space="preserve">- </w:t>
      </w:r>
      <w:r w:rsidR="00E9566A">
        <w:t xml:space="preserve">nije poduzetnik u </w:t>
      </w:r>
      <w:r w:rsidR="00B312F1">
        <w:t>teškoćama</w:t>
      </w:r>
    </w:p>
    <w:p w:rsidR="00697AA4" w:rsidRDefault="00697AA4" w:rsidP="00D56F9C">
      <w:pPr>
        <w:jc w:val="both"/>
      </w:pPr>
      <w:r>
        <w:t xml:space="preserve">- </w:t>
      </w:r>
      <w:r w:rsidR="00A77F45">
        <w:t>nije</w:t>
      </w:r>
      <w:r w:rsidRPr="00697AA4">
        <w:t xml:space="preserve"> u blokadi niti je nad njima otvoren stečajni postupak, postupak </w:t>
      </w:r>
      <w:proofErr w:type="spellStart"/>
      <w:r w:rsidRPr="00697AA4">
        <w:t>predstečajne</w:t>
      </w:r>
      <w:proofErr w:type="spellEnd"/>
      <w:r w:rsidRPr="00697AA4">
        <w:t xml:space="preserve"> nagodbe ili postupak likvidacije</w:t>
      </w:r>
    </w:p>
    <w:p w:rsidR="00A77F45" w:rsidRDefault="00A77F45" w:rsidP="00D56F9C">
      <w:pPr>
        <w:jc w:val="both"/>
      </w:pPr>
      <w:r>
        <w:t xml:space="preserve">- </w:t>
      </w:r>
      <w:r w:rsidRPr="00A77F45">
        <w:t xml:space="preserve">Podnositelju prijave, pojedinačnim vlasnicima Podnositelja prijave ili osobama ovlaštenim za zastupanje Podnositelja prijave nije izrečena pravomoćna osuđujuća presuda za jedno ili više sljedećih kaznenih djela: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w:t>
      </w:r>
      <w:r w:rsidR="00413D1A">
        <w:t>u sastavu zločinačkog udruženja</w:t>
      </w:r>
    </w:p>
    <w:p w:rsidR="005D4967" w:rsidRDefault="008A1E1B" w:rsidP="00D56F9C">
      <w:pPr>
        <w:jc w:val="both"/>
      </w:pPr>
      <w:r>
        <w:t xml:space="preserve">- </w:t>
      </w:r>
      <w:r w:rsidR="00E9566A">
        <w:t xml:space="preserve">ima podmirene </w:t>
      </w:r>
      <w:r w:rsidR="00697AA4" w:rsidRPr="00E9566A">
        <w:t>obveze po osnovi javnih davanja o kojima službenu evidenciju vodi Porezna uprava</w:t>
      </w:r>
      <w:r w:rsidR="00E9566A">
        <w:t xml:space="preserve"> </w:t>
      </w:r>
      <w:r w:rsidR="005D4967">
        <w:t xml:space="preserve">na dan 31. prosinca 2019. </w:t>
      </w:r>
      <w:r w:rsidR="006A59DB">
        <w:t xml:space="preserve">odnosno na dan 31. prosinca 2019. evidentiran dug je podmiren do dana objave </w:t>
      </w:r>
      <w:r w:rsidR="00413D1A">
        <w:t>Otvorenog javnog</w:t>
      </w:r>
      <w:r w:rsidR="00413D1A" w:rsidRPr="00372AA6">
        <w:t xml:space="preserve"> poziv</w:t>
      </w:r>
      <w:r w:rsidR="00413D1A">
        <w:t>a</w:t>
      </w:r>
      <w:r w:rsidR="00413D1A" w:rsidRPr="00372AA6">
        <w:t xml:space="preserve"> za dodjelu bespovratnih </w:t>
      </w:r>
      <w:r w:rsidR="003069D6">
        <w:t xml:space="preserve">potpora </w:t>
      </w:r>
      <w:r w:rsidR="00413D1A" w:rsidRPr="00372AA6">
        <w:t>temeljem</w:t>
      </w:r>
      <w:r w:rsidR="00413D1A">
        <w:t xml:space="preserve"> ovog</w:t>
      </w:r>
      <w:r w:rsidR="00224084">
        <w:t>a</w:t>
      </w:r>
      <w:r w:rsidR="00413D1A">
        <w:t xml:space="preserve"> Program</w:t>
      </w:r>
      <w:r w:rsidR="003069D6">
        <w:t>a</w:t>
      </w:r>
      <w:r w:rsidR="005D4967">
        <w:t>,</w:t>
      </w:r>
      <w:r w:rsidR="005D4967" w:rsidRPr="005D4967">
        <w:t xml:space="preserve"> </w:t>
      </w:r>
      <w:r w:rsidR="005D4967">
        <w:t xml:space="preserve">izuzev gospodarskih subjekata osnovanih u 2020. </w:t>
      </w:r>
    </w:p>
    <w:p w:rsidR="00697AA4" w:rsidRDefault="005D4967" w:rsidP="00D56F9C">
      <w:pPr>
        <w:jc w:val="both"/>
      </w:pPr>
      <w:r>
        <w:t xml:space="preserve">- </w:t>
      </w:r>
      <w:r w:rsidR="00DE5CA0" w:rsidRPr="00E9566A">
        <w:t>ima podmirene obveze prema zaposlenicima</w:t>
      </w:r>
      <w:r w:rsidR="00E9566A">
        <w:t xml:space="preserve"> za 2019., izuzev gospodarskih subjekata osnovanih u 2020.</w:t>
      </w:r>
    </w:p>
    <w:p w:rsidR="000E12B0" w:rsidRPr="003F4B26" w:rsidRDefault="000E12B0" w:rsidP="00E9566A">
      <w:pPr>
        <w:spacing w:after="0"/>
        <w:jc w:val="both"/>
      </w:pPr>
    </w:p>
    <w:p w:rsidR="000B38D2" w:rsidRPr="00CE24F5" w:rsidRDefault="001C0670" w:rsidP="00AD13C2">
      <w:r>
        <w:rPr>
          <w:b/>
          <w:bCs/>
        </w:rPr>
        <w:t>9</w:t>
      </w:r>
      <w:r w:rsidR="006637E0" w:rsidRPr="003F4B26">
        <w:rPr>
          <w:b/>
          <w:bCs/>
        </w:rPr>
        <w:t xml:space="preserve">. </w:t>
      </w:r>
      <w:r w:rsidR="006637E0" w:rsidRPr="00CE24F5">
        <w:rPr>
          <w:b/>
          <w:bCs/>
        </w:rPr>
        <w:t>PRIHVATLJIVI I NEPRIHVATLJIVI TROŠKOVI</w:t>
      </w:r>
    </w:p>
    <w:p w:rsidR="000E5E8C" w:rsidRPr="00CE24F5" w:rsidRDefault="000E5E8C" w:rsidP="009D1F49">
      <w:pPr>
        <w:jc w:val="both"/>
        <w:rPr>
          <w:b/>
        </w:rPr>
      </w:pPr>
      <w:r w:rsidRPr="00CE24F5">
        <w:rPr>
          <w:b/>
        </w:rPr>
        <w:t>Prihvatljivi troškovi</w:t>
      </w:r>
      <w:r w:rsidR="00901617">
        <w:rPr>
          <w:b/>
        </w:rPr>
        <w:t xml:space="preserve"> su oni koji su nastali</w:t>
      </w:r>
      <w:r w:rsidR="00901617" w:rsidRPr="00901617">
        <w:rPr>
          <w:b/>
        </w:rPr>
        <w:t xml:space="preserve"> </w:t>
      </w:r>
      <w:r w:rsidR="00901617">
        <w:rPr>
          <w:b/>
        </w:rPr>
        <w:t xml:space="preserve">uslijed </w:t>
      </w:r>
      <w:r w:rsidR="00901617" w:rsidRPr="004E373E">
        <w:rPr>
          <w:b/>
        </w:rPr>
        <w:t>k</w:t>
      </w:r>
      <w:r w:rsidR="00901617">
        <w:rPr>
          <w:b/>
        </w:rPr>
        <w:t>atastrofe uzrokovane</w:t>
      </w:r>
      <w:r w:rsidR="00901617" w:rsidRPr="004E373E">
        <w:rPr>
          <w:b/>
        </w:rPr>
        <w:t xml:space="preserve"> potresom sukladno Odluci o proglašenju katastrofe na području pogođenom potresom</w:t>
      </w:r>
      <w:r w:rsidR="00901617">
        <w:rPr>
          <w:b/>
        </w:rPr>
        <w:t>, i to:</w:t>
      </w:r>
    </w:p>
    <w:p w:rsidR="00CC017C" w:rsidRPr="00CE24F5" w:rsidRDefault="00CC017C" w:rsidP="00CC017C">
      <w:pPr>
        <w:pStyle w:val="ListParagraph"/>
        <w:numPr>
          <w:ilvl w:val="0"/>
          <w:numId w:val="5"/>
        </w:numPr>
        <w:autoSpaceDE w:val="0"/>
        <w:autoSpaceDN w:val="0"/>
        <w:adjustRightInd w:val="0"/>
        <w:spacing w:after="18" w:line="240" w:lineRule="auto"/>
        <w:jc w:val="both"/>
        <w:rPr>
          <w:color w:val="000000"/>
          <w:lang w:eastAsia="hr-HR"/>
        </w:rPr>
      </w:pPr>
      <w:r w:rsidRPr="00CE24F5">
        <w:rPr>
          <w:color w:val="000000"/>
          <w:lang w:eastAsia="hr-HR"/>
        </w:rPr>
        <w:t xml:space="preserve">Troškovi radova za saniranje </w:t>
      </w:r>
      <w:r>
        <w:rPr>
          <w:color w:val="000000"/>
          <w:lang w:eastAsia="hr-HR"/>
        </w:rPr>
        <w:t>poslovnog prostora</w:t>
      </w:r>
      <w:r w:rsidRPr="00CE24F5">
        <w:rPr>
          <w:color w:val="000000"/>
          <w:lang w:eastAsia="hr-HR"/>
        </w:rPr>
        <w:t xml:space="preserve">* </w:t>
      </w:r>
    </w:p>
    <w:p w:rsidR="00CC017C" w:rsidRPr="00CE24F5" w:rsidRDefault="00CC017C" w:rsidP="00CC017C">
      <w:pPr>
        <w:pStyle w:val="ListParagraph"/>
        <w:numPr>
          <w:ilvl w:val="0"/>
          <w:numId w:val="5"/>
        </w:numPr>
        <w:autoSpaceDE w:val="0"/>
        <w:autoSpaceDN w:val="0"/>
        <w:adjustRightInd w:val="0"/>
        <w:spacing w:after="18" w:line="240" w:lineRule="auto"/>
        <w:ind w:left="709"/>
        <w:jc w:val="both"/>
        <w:rPr>
          <w:color w:val="000000"/>
          <w:lang w:eastAsia="hr-HR"/>
        </w:rPr>
      </w:pPr>
      <w:r w:rsidRPr="00CE24F5">
        <w:rPr>
          <w:color w:val="000000"/>
          <w:lang w:eastAsia="hr-HR"/>
        </w:rPr>
        <w:t xml:space="preserve">Troškovi najma </w:t>
      </w:r>
      <w:r>
        <w:rPr>
          <w:color w:val="000000"/>
          <w:lang w:eastAsia="hr-HR"/>
        </w:rPr>
        <w:t xml:space="preserve">poslovnog </w:t>
      </w:r>
      <w:r w:rsidRPr="00CE24F5">
        <w:rPr>
          <w:color w:val="000000"/>
          <w:lang w:eastAsia="hr-HR"/>
        </w:rPr>
        <w:t>prostora</w:t>
      </w:r>
      <w:r>
        <w:rPr>
          <w:color w:val="000000"/>
          <w:lang w:eastAsia="hr-HR"/>
        </w:rPr>
        <w:t xml:space="preserve"> </w:t>
      </w:r>
      <w:r w:rsidR="003069D6">
        <w:rPr>
          <w:color w:val="000000"/>
          <w:lang w:eastAsia="hr-HR"/>
        </w:rPr>
        <w:t>(za razdoblje od</w:t>
      </w:r>
      <w:r>
        <w:rPr>
          <w:color w:val="000000"/>
          <w:lang w:eastAsia="hr-HR"/>
        </w:rPr>
        <w:t xml:space="preserve"> 6 mjeseci</w:t>
      </w:r>
      <w:r w:rsidR="003069D6">
        <w:rPr>
          <w:color w:val="000000"/>
          <w:lang w:eastAsia="hr-HR"/>
        </w:rPr>
        <w:t>)</w:t>
      </w:r>
    </w:p>
    <w:p w:rsidR="00CC017C" w:rsidRPr="00CE24F5" w:rsidRDefault="00CC017C" w:rsidP="00CC017C">
      <w:pPr>
        <w:pStyle w:val="ListParagraph"/>
        <w:numPr>
          <w:ilvl w:val="0"/>
          <w:numId w:val="5"/>
        </w:numPr>
        <w:autoSpaceDE w:val="0"/>
        <w:autoSpaceDN w:val="0"/>
        <w:adjustRightInd w:val="0"/>
        <w:spacing w:after="18" w:line="240" w:lineRule="auto"/>
        <w:ind w:left="709"/>
        <w:jc w:val="both"/>
        <w:rPr>
          <w:color w:val="000000"/>
          <w:lang w:eastAsia="hr-HR"/>
        </w:rPr>
      </w:pPr>
      <w:r w:rsidRPr="00CE24F5">
        <w:rPr>
          <w:color w:val="000000"/>
          <w:lang w:eastAsia="hr-HR"/>
        </w:rPr>
        <w:t>Troškovi vezani uz opremanje interijera poslov</w:t>
      </w:r>
      <w:r>
        <w:rPr>
          <w:color w:val="000000"/>
          <w:lang w:eastAsia="hr-HR"/>
        </w:rPr>
        <w:t>nog prostora (nabava inventara)</w:t>
      </w:r>
    </w:p>
    <w:p w:rsidR="000E5E8C" w:rsidRPr="00CE24F5" w:rsidRDefault="000E5E8C" w:rsidP="006D1A6D">
      <w:pPr>
        <w:pStyle w:val="ListParagraph"/>
        <w:numPr>
          <w:ilvl w:val="0"/>
          <w:numId w:val="5"/>
        </w:numPr>
        <w:autoSpaceDE w:val="0"/>
        <w:autoSpaceDN w:val="0"/>
        <w:adjustRightInd w:val="0"/>
        <w:spacing w:after="18" w:line="240" w:lineRule="auto"/>
        <w:jc w:val="both"/>
        <w:rPr>
          <w:color w:val="000000"/>
          <w:lang w:eastAsia="hr-HR"/>
        </w:rPr>
      </w:pPr>
      <w:r w:rsidRPr="00CE24F5">
        <w:rPr>
          <w:color w:val="000000"/>
          <w:lang w:eastAsia="hr-HR"/>
        </w:rPr>
        <w:t xml:space="preserve">Troškovi vezani uz </w:t>
      </w:r>
      <w:r w:rsidR="000E12B0">
        <w:t>nabavu</w:t>
      </w:r>
      <w:r w:rsidR="00071013" w:rsidRPr="00CE24F5">
        <w:t xml:space="preserve"> strojeva i radnih strojeva</w:t>
      </w:r>
      <w:r w:rsidR="00071013" w:rsidRPr="00800304">
        <w:rPr>
          <w:rStyle w:val="FootnoteReference"/>
          <w:rFonts w:ascii="Times New Roman" w:hAnsi="Times New Roman"/>
          <w:szCs w:val="16"/>
        </w:rPr>
        <w:footnoteReference w:id="5"/>
      </w:r>
      <w:r w:rsidR="00071013" w:rsidRPr="00CE24F5">
        <w:t>, postrojenja i opreme, mjernih i kontrolnih uređaja i instrumenata te računalnih programa</w:t>
      </w:r>
      <w:r w:rsidR="006D1A6D">
        <w:t xml:space="preserve"> namijenjenih </w:t>
      </w:r>
      <w:r w:rsidR="006D1A6D" w:rsidRPr="006D1A6D">
        <w:t>za obavljanje poslovne djelatnosti</w:t>
      </w:r>
    </w:p>
    <w:p w:rsidR="007B4403" w:rsidRDefault="00827ABC" w:rsidP="007B4403">
      <w:pPr>
        <w:pStyle w:val="ListParagraph"/>
        <w:numPr>
          <w:ilvl w:val="0"/>
          <w:numId w:val="5"/>
        </w:numPr>
        <w:autoSpaceDE w:val="0"/>
        <w:autoSpaceDN w:val="0"/>
        <w:adjustRightInd w:val="0"/>
        <w:spacing w:after="18" w:line="240" w:lineRule="auto"/>
        <w:jc w:val="both"/>
        <w:rPr>
          <w:color w:val="000000"/>
          <w:lang w:eastAsia="hr-HR"/>
        </w:rPr>
      </w:pPr>
      <w:r>
        <w:rPr>
          <w:color w:val="000000"/>
          <w:lang w:eastAsia="hr-HR"/>
        </w:rPr>
        <w:t>Troškovi nabave</w:t>
      </w:r>
      <w:r w:rsidR="007B4403" w:rsidRPr="00CE24F5">
        <w:rPr>
          <w:color w:val="000000"/>
          <w:lang w:eastAsia="hr-HR"/>
        </w:rPr>
        <w:t xml:space="preserve"> rabljene opreme</w:t>
      </w:r>
      <w:r w:rsidR="007B4403">
        <w:rPr>
          <w:color w:val="000000"/>
          <w:lang w:eastAsia="hr-HR"/>
        </w:rPr>
        <w:t xml:space="preserve"> </w:t>
      </w:r>
    </w:p>
    <w:p w:rsidR="000E5E8C" w:rsidRPr="00CE24F5" w:rsidRDefault="003069D6" w:rsidP="006D1A6D">
      <w:pPr>
        <w:pStyle w:val="ListParagraph"/>
        <w:numPr>
          <w:ilvl w:val="0"/>
          <w:numId w:val="5"/>
        </w:numPr>
        <w:autoSpaceDE w:val="0"/>
        <w:autoSpaceDN w:val="0"/>
        <w:adjustRightInd w:val="0"/>
        <w:spacing w:after="18" w:line="240" w:lineRule="auto"/>
        <w:jc w:val="both"/>
        <w:rPr>
          <w:color w:val="000000"/>
          <w:lang w:eastAsia="hr-HR"/>
        </w:rPr>
      </w:pPr>
      <w:r>
        <w:rPr>
          <w:color w:val="000000"/>
          <w:lang w:eastAsia="hr-HR"/>
        </w:rPr>
        <w:t>Troškovi obrtnih sredstava</w:t>
      </w:r>
      <w:r w:rsidR="006D1A6D">
        <w:rPr>
          <w:color w:val="000000"/>
          <w:lang w:eastAsia="hr-HR"/>
        </w:rPr>
        <w:t xml:space="preserve"> kao što je</w:t>
      </w:r>
      <w:r w:rsidR="000E5E8C" w:rsidRPr="00CE24F5">
        <w:rPr>
          <w:color w:val="000000"/>
          <w:lang w:eastAsia="hr-HR"/>
        </w:rPr>
        <w:t xml:space="preserve"> </w:t>
      </w:r>
      <w:r w:rsidR="006D1A6D">
        <w:t xml:space="preserve">nabava sirovine, repromaterijala, poluproizvoda i sitnog inventara </w:t>
      </w:r>
      <w:r w:rsidR="000E5E8C" w:rsidRPr="00CE24F5">
        <w:rPr>
          <w:color w:val="000000"/>
          <w:lang w:eastAsia="hr-HR"/>
        </w:rPr>
        <w:t xml:space="preserve">potrebni </w:t>
      </w:r>
      <w:r w:rsidR="006D1A6D" w:rsidRPr="006D1A6D">
        <w:rPr>
          <w:color w:val="000000"/>
          <w:lang w:eastAsia="hr-HR"/>
        </w:rPr>
        <w:t>za obavljanje poslovne djelatnosti</w:t>
      </w:r>
      <w:r w:rsidR="000E5E8C" w:rsidRPr="00CE24F5">
        <w:rPr>
          <w:color w:val="000000"/>
          <w:lang w:eastAsia="hr-HR"/>
        </w:rPr>
        <w:t>.</w:t>
      </w:r>
    </w:p>
    <w:p w:rsidR="003E537A" w:rsidRPr="00E9566A" w:rsidRDefault="003E537A" w:rsidP="003E537A">
      <w:pPr>
        <w:pStyle w:val="Default"/>
        <w:spacing w:after="18"/>
        <w:jc w:val="both"/>
        <w:rPr>
          <w:rFonts w:ascii="Times New Roman" w:hAnsi="Times New Roman" w:cs="Times New Roman"/>
          <w:b/>
          <w:highlight w:val="yellow"/>
          <w:lang w:val="hr-HR"/>
        </w:rPr>
      </w:pPr>
    </w:p>
    <w:p w:rsidR="003E537A" w:rsidRPr="00E9566A" w:rsidRDefault="003E537A" w:rsidP="003E537A">
      <w:pPr>
        <w:pStyle w:val="Default"/>
        <w:spacing w:after="18"/>
        <w:jc w:val="both"/>
        <w:rPr>
          <w:rFonts w:ascii="Times New Roman" w:hAnsi="Times New Roman" w:cs="Times New Roman"/>
          <w:lang w:val="hr-HR"/>
        </w:rPr>
      </w:pPr>
      <w:r w:rsidRPr="00E9566A">
        <w:rPr>
          <w:rFonts w:ascii="Times New Roman" w:hAnsi="Times New Roman" w:cs="Times New Roman"/>
          <w:lang w:val="hr-HR"/>
        </w:rPr>
        <w:t>*NAPOMENA:</w:t>
      </w:r>
    </w:p>
    <w:p w:rsidR="003E537A" w:rsidRPr="00E9566A" w:rsidRDefault="003E537A" w:rsidP="003E537A">
      <w:pPr>
        <w:pStyle w:val="Default"/>
        <w:spacing w:after="18"/>
        <w:jc w:val="both"/>
        <w:rPr>
          <w:rFonts w:ascii="Times New Roman" w:hAnsi="Times New Roman" w:cs="Times New Roman"/>
          <w:highlight w:val="yellow"/>
          <w:lang w:val="hr-HR"/>
        </w:rPr>
      </w:pPr>
      <w:r w:rsidRPr="00E9566A">
        <w:rPr>
          <w:rFonts w:ascii="Times New Roman" w:hAnsi="Times New Roman" w:cs="Times New Roman"/>
          <w:lang w:val="hr-HR"/>
        </w:rPr>
        <w:t xml:space="preserve">Podnositelj prijave </w:t>
      </w:r>
      <w:r w:rsidR="003069D6">
        <w:rPr>
          <w:rFonts w:ascii="Times New Roman" w:hAnsi="Times New Roman" w:cs="Times New Roman"/>
          <w:lang w:val="hr-HR"/>
        </w:rPr>
        <w:t>je</w:t>
      </w:r>
      <w:r w:rsidRPr="00E9566A">
        <w:rPr>
          <w:rFonts w:ascii="Times New Roman" w:hAnsi="Times New Roman" w:cs="Times New Roman"/>
          <w:lang w:val="hr-HR"/>
        </w:rPr>
        <w:t xml:space="preserve"> vlasnik ili suvlasnik s najmanje 50</w:t>
      </w:r>
      <w:r w:rsidR="00901617">
        <w:rPr>
          <w:rFonts w:ascii="Times New Roman" w:hAnsi="Times New Roman" w:cs="Times New Roman"/>
          <w:lang w:val="hr-HR"/>
        </w:rPr>
        <w:t xml:space="preserve"> </w:t>
      </w:r>
      <w:r w:rsidRPr="00E9566A">
        <w:rPr>
          <w:rFonts w:ascii="Times New Roman" w:hAnsi="Times New Roman" w:cs="Times New Roman"/>
          <w:lang w:val="hr-HR"/>
        </w:rPr>
        <w:t>%-</w:t>
      </w:r>
      <w:proofErr w:type="spellStart"/>
      <w:r w:rsidRPr="00E9566A">
        <w:rPr>
          <w:rFonts w:ascii="Times New Roman" w:hAnsi="Times New Roman" w:cs="Times New Roman"/>
          <w:lang w:val="hr-HR"/>
        </w:rPr>
        <w:t>tnim</w:t>
      </w:r>
      <w:proofErr w:type="spellEnd"/>
      <w:r w:rsidRPr="00E9566A">
        <w:rPr>
          <w:rFonts w:ascii="Times New Roman" w:hAnsi="Times New Roman" w:cs="Times New Roman"/>
          <w:lang w:val="hr-HR"/>
        </w:rPr>
        <w:t xml:space="preserve"> udjelom ili u dugoročnom najmu prostora.</w:t>
      </w:r>
      <w:r w:rsidR="006D1A6D">
        <w:rPr>
          <w:rFonts w:ascii="Times New Roman" w:hAnsi="Times New Roman" w:cs="Times New Roman"/>
          <w:lang w:val="hr-HR"/>
        </w:rPr>
        <w:t xml:space="preserve"> Navedeni trošak ne podrazumijeva konstrukcijsku obnovu građevina.</w:t>
      </w:r>
    </w:p>
    <w:p w:rsidR="003E537A" w:rsidRPr="00CE24F5" w:rsidRDefault="003E537A" w:rsidP="003E537A">
      <w:pPr>
        <w:autoSpaceDE w:val="0"/>
        <w:autoSpaceDN w:val="0"/>
        <w:adjustRightInd w:val="0"/>
        <w:spacing w:after="18" w:line="240" w:lineRule="auto"/>
        <w:jc w:val="both"/>
        <w:rPr>
          <w:color w:val="000000"/>
          <w:lang w:eastAsia="hr-HR"/>
        </w:rPr>
      </w:pPr>
    </w:p>
    <w:p w:rsidR="000E5E8C" w:rsidRPr="00CE24F5" w:rsidRDefault="000E5E8C" w:rsidP="009D1F49">
      <w:pPr>
        <w:jc w:val="both"/>
        <w:rPr>
          <w:b/>
        </w:rPr>
      </w:pPr>
      <w:r w:rsidRPr="00CE24F5">
        <w:rPr>
          <w:b/>
        </w:rPr>
        <w:t>Neprihvatljivi troškovi</w:t>
      </w:r>
      <w:r w:rsidR="00901617">
        <w:rPr>
          <w:b/>
        </w:rPr>
        <w:t>:</w:t>
      </w:r>
    </w:p>
    <w:p w:rsidR="000E5E8C" w:rsidRPr="00CE24F5" w:rsidRDefault="006D1A6D" w:rsidP="008D360F">
      <w:pPr>
        <w:pStyle w:val="ListParagraph"/>
        <w:numPr>
          <w:ilvl w:val="0"/>
          <w:numId w:val="6"/>
        </w:numPr>
        <w:autoSpaceDE w:val="0"/>
        <w:autoSpaceDN w:val="0"/>
        <w:adjustRightInd w:val="0"/>
        <w:spacing w:after="18" w:line="240" w:lineRule="auto"/>
        <w:ind w:left="709"/>
        <w:jc w:val="both"/>
        <w:rPr>
          <w:color w:val="000000"/>
          <w:lang w:eastAsia="hr-HR"/>
        </w:rPr>
      </w:pPr>
      <w:r w:rsidRPr="006D1A6D">
        <w:rPr>
          <w:color w:val="000000"/>
          <w:lang w:eastAsia="hr-HR"/>
        </w:rPr>
        <w:t>Porez na dodanu vrijednost (bez obzira</w:t>
      </w:r>
      <w:r w:rsidR="00901617">
        <w:rPr>
          <w:color w:val="000000"/>
          <w:lang w:eastAsia="hr-HR"/>
        </w:rPr>
        <w:t xml:space="preserve"> da li je poduzetnik u sustavu poreza na dodanu vrijednost</w:t>
      </w:r>
      <w:r w:rsidRPr="006D1A6D">
        <w:rPr>
          <w:color w:val="000000"/>
          <w:lang w:eastAsia="hr-HR"/>
        </w:rPr>
        <w:t xml:space="preserve"> ili nije)</w:t>
      </w:r>
    </w:p>
    <w:p w:rsidR="008D360F" w:rsidRPr="00CE24F5" w:rsidRDefault="008D360F" w:rsidP="008D360F">
      <w:pPr>
        <w:pStyle w:val="ListParagraph"/>
        <w:numPr>
          <w:ilvl w:val="0"/>
          <w:numId w:val="6"/>
        </w:numPr>
        <w:autoSpaceDE w:val="0"/>
        <w:autoSpaceDN w:val="0"/>
        <w:adjustRightInd w:val="0"/>
        <w:spacing w:after="18" w:line="240" w:lineRule="auto"/>
        <w:jc w:val="both"/>
        <w:rPr>
          <w:color w:val="000000"/>
          <w:lang w:eastAsia="hr-HR"/>
        </w:rPr>
      </w:pPr>
      <w:r w:rsidRPr="00CE24F5">
        <w:rPr>
          <w:color w:val="000000"/>
          <w:lang w:eastAsia="hr-HR"/>
        </w:rPr>
        <w:t>Nabava/kupovina/najam osobnih, teretnih, dostavnih i radnih vozila</w:t>
      </w:r>
      <w:r w:rsidRPr="003069D6">
        <w:rPr>
          <w:rStyle w:val="FootnoteReference"/>
          <w:rFonts w:ascii="Times New Roman" w:hAnsi="Times New Roman"/>
          <w:color w:val="000000"/>
          <w:szCs w:val="16"/>
          <w:lang w:eastAsia="hr-HR"/>
        </w:rPr>
        <w:footnoteReference w:id="6"/>
      </w:r>
    </w:p>
    <w:p w:rsidR="008D360F" w:rsidRDefault="008D360F" w:rsidP="008E2FAB">
      <w:pPr>
        <w:pStyle w:val="ListParagraph"/>
        <w:numPr>
          <w:ilvl w:val="0"/>
          <w:numId w:val="6"/>
        </w:numPr>
        <w:autoSpaceDE w:val="0"/>
        <w:autoSpaceDN w:val="0"/>
        <w:adjustRightInd w:val="0"/>
        <w:spacing w:after="18" w:line="240" w:lineRule="auto"/>
        <w:jc w:val="both"/>
        <w:rPr>
          <w:color w:val="000000"/>
          <w:lang w:eastAsia="hr-HR"/>
        </w:rPr>
      </w:pPr>
      <w:r w:rsidRPr="00CE24F5">
        <w:rPr>
          <w:color w:val="000000"/>
          <w:lang w:eastAsia="hr-HR"/>
        </w:rPr>
        <w:t>Carinske i uvozne pristojbe ili bilo koje druge naknade (bankovne naknade, tečajne razlike i sl.)</w:t>
      </w:r>
    </w:p>
    <w:p w:rsidR="00827ABC" w:rsidRPr="00827ABC" w:rsidRDefault="00827ABC" w:rsidP="00827ABC">
      <w:pPr>
        <w:pStyle w:val="ListParagraph"/>
        <w:numPr>
          <w:ilvl w:val="0"/>
          <w:numId w:val="6"/>
        </w:numPr>
        <w:autoSpaceDE w:val="0"/>
        <w:autoSpaceDN w:val="0"/>
        <w:adjustRightInd w:val="0"/>
        <w:spacing w:after="18" w:line="240" w:lineRule="auto"/>
        <w:jc w:val="both"/>
        <w:rPr>
          <w:color w:val="000000"/>
          <w:lang w:eastAsia="hr-HR"/>
        </w:rPr>
      </w:pPr>
      <w:r>
        <w:rPr>
          <w:color w:val="000000"/>
          <w:lang w:eastAsia="hr-HR"/>
        </w:rPr>
        <w:t>Troškovi nabave</w:t>
      </w:r>
      <w:r w:rsidRPr="00CE24F5">
        <w:rPr>
          <w:color w:val="000000"/>
          <w:lang w:eastAsia="hr-HR"/>
        </w:rPr>
        <w:t xml:space="preserve"> rabljene opreme</w:t>
      </w:r>
      <w:r>
        <w:rPr>
          <w:color w:val="000000"/>
          <w:lang w:eastAsia="hr-HR"/>
        </w:rPr>
        <w:t xml:space="preserve"> starije od 5 godina</w:t>
      </w:r>
    </w:p>
    <w:p w:rsidR="00E556F9" w:rsidRPr="00E556F9" w:rsidRDefault="00E556F9" w:rsidP="00E556F9">
      <w:pPr>
        <w:pStyle w:val="ListParagraph"/>
        <w:numPr>
          <w:ilvl w:val="0"/>
          <w:numId w:val="6"/>
        </w:numPr>
        <w:rPr>
          <w:color w:val="000000"/>
          <w:lang w:eastAsia="hr-HR"/>
        </w:rPr>
      </w:pPr>
      <w:r w:rsidRPr="00E556F9">
        <w:rPr>
          <w:color w:val="000000"/>
          <w:lang w:eastAsia="hr-HR"/>
        </w:rPr>
        <w:t>Najam opreme</w:t>
      </w:r>
    </w:p>
    <w:p w:rsidR="00E556F9" w:rsidRDefault="00E556F9" w:rsidP="00E556F9">
      <w:pPr>
        <w:pStyle w:val="ListParagraph"/>
        <w:numPr>
          <w:ilvl w:val="0"/>
          <w:numId w:val="6"/>
        </w:numPr>
        <w:autoSpaceDE w:val="0"/>
        <w:autoSpaceDN w:val="0"/>
        <w:adjustRightInd w:val="0"/>
        <w:spacing w:after="18" w:line="240" w:lineRule="auto"/>
        <w:jc w:val="both"/>
      </w:pPr>
      <w:r>
        <w:t>Troškovi izgradnje, dogradnje ili kupovine poslovnog prostora ili zemljišta</w:t>
      </w:r>
    </w:p>
    <w:p w:rsidR="00E556F9" w:rsidRPr="00CE24F5" w:rsidRDefault="00E556F9" w:rsidP="00FD7E2F">
      <w:pPr>
        <w:pStyle w:val="ListParagraph"/>
        <w:numPr>
          <w:ilvl w:val="0"/>
          <w:numId w:val="6"/>
        </w:numPr>
        <w:autoSpaceDE w:val="0"/>
        <w:autoSpaceDN w:val="0"/>
        <w:adjustRightInd w:val="0"/>
        <w:spacing w:after="18" w:line="240" w:lineRule="auto"/>
        <w:ind w:left="709"/>
        <w:jc w:val="both"/>
      </w:pPr>
      <w:r>
        <w:t xml:space="preserve">Vanjski građevinski radovi </w:t>
      </w:r>
    </w:p>
    <w:p w:rsidR="008D360F" w:rsidRDefault="008D360F" w:rsidP="008D360F">
      <w:pPr>
        <w:pStyle w:val="ListParagraph"/>
        <w:numPr>
          <w:ilvl w:val="0"/>
          <w:numId w:val="6"/>
        </w:numPr>
        <w:autoSpaceDE w:val="0"/>
        <w:autoSpaceDN w:val="0"/>
        <w:adjustRightInd w:val="0"/>
        <w:spacing w:after="18" w:line="240" w:lineRule="auto"/>
        <w:ind w:left="709"/>
        <w:jc w:val="both"/>
      </w:pPr>
      <w:r w:rsidRPr="00CE24F5">
        <w:t>Troškovi opreme, usluga i radova koje isporučuju ili obavljaju partnerski i povezani subjekti s Podnositeljem prijave</w:t>
      </w:r>
    </w:p>
    <w:p w:rsidR="00E556F9" w:rsidRPr="00E556F9" w:rsidRDefault="00E556F9" w:rsidP="00E556F9">
      <w:pPr>
        <w:pStyle w:val="ListParagraph"/>
        <w:numPr>
          <w:ilvl w:val="0"/>
          <w:numId w:val="6"/>
        </w:numPr>
      </w:pPr>
      <w:r w:rsidRPr="00E556F9">
        <w:t>Nabava oružja.</w:t>
      </w:r>
    </w:p>
    <w:p w:rsidR="008249F7" w:rsidRDefault="008249F7" w:rsidP="004B4F5E">
      <w:pPr>
        <w:pStyle w:val="ListParagraph"/>
        <w:autoSpaceDE w:val="0"/>
        <w:autoSpaceDN w:val="0"/>
        <w:adjustRightInd w:val="0"/>
        <w:spacing w:after="0" w:line="240" w:lineRule="auto"/>
        <w:ind w:left="709"/>
        <w:jc w:val="both"/>
      </w:pPr>
    </w:p>
    <w:p w:rsidR="00901617" w:rsidRPr="00CE24F5" w:rsidRDefault="00901617" w:rsidP="004B4F5E">
      <w:pPr>
        <w:pStyle w:val="ListParagraph"/>
        <w:autoSpaceDE w:val="0"/>
        <w:autoSpaceDN w:val="0"/>
        <w:adjustRightInd w:val="0"/>
        <w:spacing w:after="0" w:line="240" w:lineRule="auto"/>
        <w:ind w:left="709"/>
        <w:jc w:val="both"/>
      </w:pPr>
    </w:p>
    <w:p w:rsidR="006637E0" w:rsidRPr="003F4B26" w:rsidRDefault="001C0670" w:rsidP="00AD13C2">
      <w:r>
        <w:rPr>
          <w:b/>
          <w:bCs/>
        </w:rPr>
        <w:t>10</w:t>
      </w:r>
      <w:r w:rsidR="006637E0" w:rsidRPr="003F4B26">
        <w:rPr>
          <w:b/>
          <w:bCs/>
        </w:rPr>
        <w:t xml:space="preserve">. </w:t>
      </w:r>
      <w:r w:rsidR="00E868E1" w:rsidRPr="00E868E1">
        <w:rPr>
          <w:b/>
          <w:bCs/>
        </w:rPr>
        <w:t>TIJELO ZADUŽENO ZA PROVEDBU</w:t>
      </w:r>
    </w:p>
    <w:p w:rsidR="00D07DF8" w:rsidRPr="00372AA6" w:rsidRDefault="00D07DF8" w:rsidP="00D07DF8">
      <w:pPr>
        <w:autoSpaceDE w:val="0"/>
        <w:autoSpaceDN w:val="0"/>
        <w:adjustRightInd w:val="0"/>
        <w:spacing w:after="0" w:line="240" w:lineRule="auto"/>
        <w:jc w:val="both"/>
      </w:pPr>
      <w:r w:rsidRPr="00372AA6">
        <w:t xml:space="preserve">Ministarstvo objavljuje Otvoreni javni poziv za dodjelu bespovratnih </w:t>
      </w:r>
      <w:r w:rsidR="003069D6">
        <w:t>potpora</w:t>
      </w:r>
      <w:r w:rsidRPr="00372AA6">
        <w:t xml:space="preserve"> temeljem ovog</w:t>
      </w:r>
      <w:r w:rsidR="005E2641">
        <w:t>a</w:t>
      </w:r>
      <w:r w:rsidRPr="00372AA6">
        <w:t xml:space="preserve"> Programa na mrežnim stranicama </w:t>
      </w:r>
      <w:r w:rsidR="001734D0">
        <w:t>(</w:t>
      </w:r>
      <w:hyperlink r:id="rId8" w:history="1">
        <w:r w:rsidR="001734D0" w:rsidRPr="00A944CB">
          <w:rPr>
            <w:rStyle w:val="Hyperlink"/>
          </w:rPr>
          <w:t>https://gospodarstvo.gov.hr/</w:t>
        </w:r>
      </w:hyperlink>
      <w:r w:rsidRPr="00372AA6">
        <w:t xml:space="preserve"> ).</w:t>
      </w:r>
    </w:p>
    <w:p w:rsidR="00D351BE" w:rsidRDefault="00D351BE" w:rsidP="005F4D2C"/>
    <w:p w:rsidR="006637E0" w:rsidRPr="003F4B26" w:rsidRDefault="000E46EA" w:rsidP="00AD13C2">
      <w:r>
        <w:rPr>
          <w:b/>
          <w:bCs/>
        </w:rPr>
        <w:t>1</w:t>
      </w:r>
      <w:r w:rsidR="001C0670">
        <w:rPr>
          <w:b/>
          <w:bCs/>
        </w:rPr>
        <w:t>1</w:t>
      </w:r>
      <w:r w:rsidR="006637E0" w:rsidRPr="003F4B26">
        <w:rPr>
          <w:b/>
          <w:bCs/>
        </w:rPr>
        <w:t>. POSTUPAK ODOBRAVANJA</w:t>
      </w:r>
      <w:r w:rsidR="00AE42F2">
        <w:rPr>
          <w:b/>
          <w:bCs/>
        </w:rPr>
        <w:t xml:space="preserve"> BESPOVRATNE</w:t>
      </w:r>
      <w:r w:rsidR="006637E0" w:rsidRPr="003F4B26">
        <w:rPr>
          <w:b/>
          <w:bCs/>
        </w:rPr>
        <w:t xml:space="preserve"> POTPORE</w:t>
      </w:r>
    </w:p>
    <w:p w:rsidR="00CE5E5E" w:rsidRDefault="00AE42F2" w:rsidP="00CE5E5E">
      <w:pPr>
        <w:jc w:val="both"/>
      </w:pPr>
      <w:r>
        <w:t>Bespovratne potpore</w:t>
      </w:r>
      <w:r w:rsidR="00570757" w:rsidRPr="00827ABC">
        <w:t xml:space="preserve"> se odobravaju korisnicima koji udovoljavaju administrativnim uvjetima i uvjetima prihvatljivosti </w:t>
      </w:r>
      <w:r w:rsidR="006035C4" w:rsidRPr="00827ABC">
        <w:t xml:space="preserve">u razmjernom iznosu </w:t>
      </w:r>
      <w:r w:rsidR="00570757" w:rsidRPr="00827ABC">
        <w:t xml:space="preserve">do konačne raspodjele ukupnog iznosa proračunskih sredstava osiguranih za </w:t>
      </w:r>
      <w:r>
        <w:t>provedbu ovog</w:t>
      </w:r>
      <w:r w:rsidR="005E2641">
        <w:t>a</w:t>
      </w:r>
      <w:r w:rsidR="00570757" w:rsidRPr="00827ABC">
        <w:t xml:space="preserve"> Program</w:t>
      </w:r>
      <w:r>
        <w:t>a</w:t>
      </w:r>
      <w:r w:rsidR="00570757" w:rsidRPr="00827ABC">
        <w:t>.</w:t>
      </w:r>
      <w:r w:rsidR="00CE5E5E" w:rsidRPr="00CE5E5E">
        <w:t xml:space="preserve"> </w:t>
      </w:r>
    </w:p>
    <w:p w:rsidR="00CE5E5E" w:rsidRDefault="00CE5E5E" w:rsidP="00CE5E5E">
      <w:pPr>
        <w:jc w:val="both"/>
      </w:pPr>
      <w:r w:rsidRPr="00570757">
        <w:t>Od Podnositelja prijave se mogu zahtijevati dodatna objašnjenja i informacije, odnosno dodatna dokumentacija ukoliko je to nužno za utvrđivanje njegovog statusa.</w:t>
      </w:r>
    </w:p>
    <w:p w:rsidR="00CC7C2F" w:rsidRDefault="00CC7C2F" w:rsidP="00CE5E5E">
      <w:pPr>
        <w:jc w:val="both"/>
      </w:pPr>
      <w:r>
        <w:t xml:space="preserve">U slučaju nepotpune dokumentacije </w:t>
      </w:r>
      <w:r w:rsidRPr="00CC7C2F">
        <w:t>Podnositelj prijave će biti pozvan da dopuni dokumentaciju u roku od 10 dana od dana zaprimanja</w:t>
      </w:r>
      <w:r w:rsidR="00F27E67">
        <w:t xml:space="preserve"> obavijesti </w:t>
      </w:r>
      <w:r w:rsidRPr="00CC7C2F">
        <w:t>M</w:t>
      </w:r>
      <w:r w:rsidR="00F27E67">
        <w:t>inistarstva</w:t>
      </w:r>
      <w:r w:rsidRPr="00CC7C2F">
        <w:t>.</w:t>
      </w:r>
    </w:p>
    <w:p w:rsidR="001C49A8" w:rsidRDefault="000E12B0" w:rsidP="00CE5E5E">
      <w:pPr>
        <w:jc w:val="both"/>
      </w:pPr>
      <w:r>
        <w:t>Ministarstvo će pisanim putem</w:t>
      </w:r>
      <w:r w:rsidR="001C49A8">
        <w:t xml:space="preserve"> obavijestiti</w:t>
      </w:r>
      <w:r>
        <w:t xml:space="preserve"> korisnike</w:t>
      </w:r>
      <w:r w:rsidR="001C49A8">
        <w:t xml:space="preserve"> o predviđenom iznosu potpore izraženom u obliku bruto novčane protuvrijednosti potpore, kao i tome da je riječ o de </w:t>
      </w:r>
      <w:proofErr w:type="spellStart"/>
      <w:r w:rsidR="001C49A8">
        <w:t>minimis</w:t>
      </w:r>
      <w:proofErr w:type="spellEnd"/>
      <w:r w:rsidR="001C49A8">
        <w:t xml:space="preserve"> potpori pozivajući na </w:t>
      </w:r>
      <w:r w:rsidR="001C49A8" w:rsidRPr="001C49A8">
        <w:t>Uredb</w:t>
      </w:r>
      <w:r w:rsidR="001C49A8">
        <w:t>u</w:t>
      </w:r>
      <w:r w:rsidR="001C49A8" w:rsidRPr="001C49A8">
        <w:t xml:space="preserve"> (EU) br. 1407/2013</w:t>
      </w:r>
      <w:r w:rsidR="001C49A8">
        <w:t>.</w:t>
      </w:r>
      <w:r w:rsidR="001C49A8" w:rsidRPr="001C49A8">
        <w:t xml:space="preserve"> Prije dodjeljivanja potpore </w:t>
      </w:r>
      <w:r w:rsidR="001C49A8">
        <w:t>Ministarstvo</w:t>
      </w:r>
      <w:r w:rsidR="001C49A8" w:rsidRPr="001C49A8">
        <w:t xml:space="preserve"> </w:t>
      </w:r>
      <w:r w:rsidR="00DA4358">
        <w:t xml:space="preserve">će </w:t>
      </w:r>
      <w:r w:rsidR="001C49A8" w:rsidRPr="001C49A8">
        <w:t>od Podnositelj</w:t>
      </w:r>
      <w:r w:rsidR="001C49A8">
        <w:t>a</w:t>
      </w:r>
      <w:r w:rsidR="001C49A8" w:rsidRPr="001C49A8">
        <w:t xml:space="preserve"> prijave </w:t>
      </w:r>
      <w:r w:rsidR="00DA4358">
        <w:t>ishoditi</w:t>
      </w:r>
      <w:r w:rsidR="001C49A8" w:rsidRPr="001C49A8">
        <w:t xml:space="preserve"> izjavu, u pisanom ili elektroničkom obliku, o svakoj de </w:t>
      </w:r>
      <w:proofErr w:type="spellStart"/>
      <w:r w:rsidR="001C49A8" w:rsidRPr="001C49A8">
        <w:t>minimis</w:t>
      </w:r>
      <w:proofErr w:type="spellEnd"/>
      <w:r w:rsidR="001C49A8" w:rsidRPr="001C49A8">
        <w:t xml:space="preserve"> potpori na koju se primjenjuje Uredb</w:t>
      </w:r>
      <w:r w:rsidR="001C49A8">
        <w:t>a</w:t>
      </w:r>
      <w:r w:rsidR="001C49A8" w:rsidRPr="001C49A8">
        <w:t xml:space="preserve"> (EU) br. 1407/2013</w:t>
      </w:r>
      <w:r w:rsidR="001C49A8">
        <w:t xml:space="preserve"> </w:t>
      </w:r>
      <w:r w:rsidR="001C49A8" w:rsidRPr="001C49A8">
        <w:t xml:space="preserve">ili druge uredbe o de </w:t>
      </w:r>
      <w:proofErr w:type="spellStart"/>
      <w:r w:rsidR="001C49A8" w:rsidRPr="001C49A8">
        <w:t>minimis</w:t>
      </w:r>
      <w:proofErr w:type="spellEnd"/>
      <w:r w:rsidR="001C49A8" w:rsidRPr="001C49A8">
        <w:t xml:space="preserve"> potporama, primljenoj tijekom prethodne dvije fiskalne godine i u tekućoj fiskalnoj godini. </w:t>
      </w:r>
      <w:r w:rsidR="001C49A8">
        <w:t xml:space="preserve">Potpora se može dodijeliti tek </w:t>
      </w:r>
      <w:r w:rsidR="001C49A8" w:rsidRPr="001C49A8">
        <w:t xml:space="preserve">nakon što </w:t>
      </w:r>
      <w:r w:rsidR="001C49A8">
        <w:t xml:space="preserve">se </w:t>
      </w:r>
      <w:r w:rsidR="001C49A8" w:rsidRPr="001C49A8">
        <w:t xml:space="preserve">utvrdi da </w:t>
      </w:r>
      <w:r>
        <w:t xml:space="preserve">isto </w:t>
      </w:r>
      <w:r w:rsidR="001C49A8" w:rsidRPr="001C49A8">
        <w:t xml:space="preserve">neće povisiti ukupan iznos de </w:t>
      </w:r>
      <w:proofErr w:type="spellStart"/>
      <w:r w:rsidR="001C49A8" w:rsidRPr="001C49A8">
        <w:t>minimis</w:t>
      </w:r>
      <w:proofErr w:type="spellEnd"/>
      <w:r w:rsidR="001C49A8" w:rsidRPr="001C49A8">
        <w:t xml:space="preserve"> potpora koji je Podnositelj prijave primio do razine koja premašuje odgovarajuću gornju granicu iz članka 3. stavka 2. </w:t>
      </w:r>
      <w:r w:rsidR="006962DB" w:rsidRPr="006962DB">
        <w:t>Uredb</w:t>
      </w:r>
      <w:r w:rsidR="006962DB">
        <w:t>e</w:t>
      </w:r>
      <w:r w:rsidR="006962DB" w:rsidRPr="006962DB">
        <w:t xml:space="preserve"> (EU) br. 1407/2013</w:t>
      </w:r>
      <w:r w:rsidR="006962DB">
        <w:t xml:space="preserve"> </w:t>
      </w:r>
      <w:r w:rsidR="001C49A8" w:rsidRPr="001C49A8">
        <w:t xml:space="preserve">i da su ispunjeni svi uvjeti predviđeni </w:t>
      </w:r>
      <w:r w:rsidR="006962DB" w:rsidRPr="006962DB">
        <w:t>Uredb</w:t>
      </w:r>
      <w:r w:rsidR="006962DB">
        <w:t>om</w:t>
      </w:r>
      <w:r w:rsidR="006962DB" w:rsidRPr="006962DB">
        <w:t xml:space="preserve"> (EU) br. 1407/2013</w:t>
      </w:r>
      <w:r w:rsidR="001C49A8" w:rsidRPr="001C49A8">
        <w:t>.</w:t>
      </w:r>
    </w:p>
    <w:p w:rsidR="00CC7C2F" w:rsidRDefault="00CC7C2F" w:rsidP="00CE5E5E">
      <w:pPr>
        <w:jc w:val="both"/>
      </w:pPr>
      <w:r>
        <w:t>Podnositelji prijava koji će ostvariti pravo na bespovratnu potporu po ovom Progr</w:t>
      </w:r>
      <w:r w:rsidR="005E2641">
        <w:t>amu s Ministarstvom zaključuju u</w:t>
      </w:r>
      <w:r>
        <w:t>govor o dodjeli bespovratne potpore.</w:t>
      </w:r>
    </w:p>
    <w:p w:rsidR="003624D6" w:rsidRPr="003F4B26" w:rsidRDefault="003624D6" w:rsidP="004B4F5E">
      <w:pPr>
        <w:spacing w:after="0"/>
        <w:jc w:val="both"/>
      </w:pPr>
    </w:p>
    <w:p w:rsidR="006637E0" w:rsidRPr="003F4B26" w:rsidRDefault="000E46EA" w:rsidP="00AD13C2">
      <w:pPr>
        <w:rPr>
          <w:b/>
          <w:bCs/>
        </w:rPr>
      </w:pPr>
      <w:r>
        <w:rPr>
          <w:b/>
          <w:bCs/>
        </w:rPr>
        <w:t>1</w:t>
      </w:r>
      <w:r w:rsidR="001C0670">
        <w:rPr>
          <w:b/>
          <w:bCs/>
        </w:rPr>
        <w:t>2</w:t>
      </w:r>
      <w:r w:rsidR="006637E0" w:rsidRPr="003F4B26">
        <w:rPr>
          <w:b/>
          <w:bCs/>
        </w:rPr>
        <w:t>. OBVEZE KORISNIKA BESPOVRATNE POTPORE</w:t>
      </w:r>
    </w:p>
    <w:p w:rsidR="006637E0" w:rsidRDefault="004D3BB3" w:rsidP="00EE63CD">
      <w:pPr>
        <w:jc w:val="both"/>
        <w:rPr>
          <w:bCs/>
        </w:rPr>
      </w:pPr>
      <w:r w:rsidRPr="004D3BB3">
        <w:rPr>
          <w:bCs/>
        </w:rPr>
        <w:t xml:space="preserve">Korisnik kojem je odobrena bespovratna potpora, dužan je u roku od 15 dana od dana primitka </w:t>
      </w:r>
      <w:r w:rsidR="005E2641">
        <w:rPr>
          <w:bCs/>
        </w:rPr>
        <w:t>u</w:t>
      </w:r>
      <w:r w:rsidRPr="004D3BB3">
        <w:rPr>
          <w:bCs/>
        </w:rPr>
        <w:t>govora o dodjeli bespovratne potpore na adresu Mi</w:t>
      </w:r>
      <w:r w:rsidR="005E2641">
        <w:rPr>
          <w:bCs/>
        </w:rPr>
        <w:t>nistarstva dostaviti potpisani u</w:t>
      </w:r>
      <w:r w:rsidRPr="004D3BB3">
        <w:rPr>
          <w:bCs/>
        </w:rPr>
        <w:t>govor</w:t>
      </w:r>
      <w:r w:rsidR="00AE42F2" w:rsidRPr="00AE42F2">
        <w:t xml:space="preserve"> </w:t>
      </w:r>
      <w:r w:rsidR="00AE42F2">
        <w:t>o dodjeli bespovratne potpore</w:t>
      </w:r>
      <w:r w:rsidRPr="004D3BB3">
        <w:rPr>
          <w:bCs/>
        </w:rPr>
        <w:t>. Korisnik kojemu je cjelokupni iznos bespovratne potpore, odnosno dio bespovratne potpore, odobren isključivo temeljem ponuda, predračuna i troškovnika dužan je</w:t>
      </w:r>
      <w:r w:rsidR="005E2641">
        <w:rPr>
          <w:bCs/>
        </w:rPr>
        <w:t xml:space="preserve"> u navedenom roku uz potpisani u</w:t>
      </w:r>
      <w:r w:rsidRPr="004D3BB3">
        <w:rPr>
          <w:bCs/>
        </w:rPr>
        <w:t>govor o dodjeli bespovratne potpore dostaviti i ovjerenu (</w:t>
      </w:r>
      <w:proofErr w:type="spellStart"/>
      <w:r w:rsidRPr="004D3BB3">
        <w:rPr>
          <w:bCs/>
        </w:rPr>
        <w:t>solemniziranu</w:t>
      </w:r>
      <w:proofErr w:type="spellEnd"/>
      <w:r w:rsidRPr="004D3BB3">
        <w:rPr>
          <w:bCs/>
        </w:rPr>
        <w:t>) bjanko zadužnicu.</w:t>
      </w:r>
    </w:p>
    <w:p w:rsidR="004D3BB3" w:rsidRDefault="004D3BB3" w:rsidP="00EE63CD">
      <w:pPr>
        <w:spacing w:before="240" w:after="0" w:line="240" w:lineRule="auto"/>
        <w:jc w:val="both"/>
      </w:pPr>
      <w:r w:rsidRPr="004D3BB3">
        <w:t>Bjanko zadužnica, sastavljena sukladno Pravilniku o obliku i sadržaju bjanko zadužnice („Narodne novine“, br. 115/12</w:t>
      </w:r>
      <w:r w:rsidR="001939CE">
        <w:t>.</w:t>
      </w:r>
      <w:r w:rsidRPr="004D3BB3">
        <w:t xml:space="preserve"> i 82/17</w:t>
      </w:r>
      <w:r w:rsidR="001939CE">
        <w:t>.</w:t>
      </w:r>
      <w:r w:rsidRPr="004D3BB3">
        <w:t xml:space="preserve">) služi kao instrument naplate dodijeljene potpore s pripadajućim zakonskim zateznim kamatama, a u slučaju nenamjenskog korištenja sredstava, u slučaju naknadno utvrđenog drugačijeg stanja od onog koje je bilo osnova za dodjelu bespovratne potpore Korisniku, u slučaju nepridržavanja obveza iz </w:t>
      </w:r>
      <w:r w:rsidR="005E2641">
        <w:t>u</w:t>
      </w:r>
      <w:r w:rsidRPr="004D3BB3">
        <w:t>govora o dodjeli bespovratne potpore, odnosno u slučaju da Korisnik ne izvrši povrat sredstava na način utvrđen ugovornim odredbama.</w:t>
      </w:r>
    </w:p>
    <w:p w:rsidR="004D3BB3" w:rsidRPr="004D3BB3" w:rsidRDefault="004D3BB3" w:rsidP="00EE63CD">
      <w:pPr>
        <w:spacing w:before="240" w:after="0" w:line="240" w:lineRule="auto"/>
        <w:jc w:val="both"/>
      </w:pPr>
      <w:r w:rsidRPr="004D3BB3">
        <w:t>Vrijednost zadužnice mora biti najmanje u iznosu odobrene potpore, odnosno u iznosu koji se odnosi na visinu potpore odobrene isključivo temeljem ponuda, predračuna i troškovnika (u zadužnicu se unosi prvi mogući iznos zadužnice od iznosa odobrene potpore).</w:t>
      </w:r>
    </w:p>
    <w:p w:rsidR="004D3BB3" w:rsidRDefault="004D3BB3" w:rsidP="00EE63CD">
      <w:pPr>
        <w:spacing w:before="240" w:after="0" w:line="240" w:lineRule="auto"/>
        <w:jc w:val="both"/>
        <w:rPr>
          <w:b/>
        </w:rPr>
      </w:pPr>
      <w:r w:rsidRPr="004D3BB3">
        <w:rPr>
          <w:b/>
        </w:rPr>
        <w:t xml:space="preserve">Ako Korisnik </w:t>
      </w:r>
      <w:r w:rsidR="00195E10">
        <w:rPr>
          <w:b/>
        </w:rPr>
        <w:t xml:space="preserve">ne </w:t>
      </w:r>
      <w:r w:rsidR="005E2641">
        <w:rPr>
          <w:b/>
        </w:rPr>
        <w:t>ispuni navedene obveze u vezi dostave potpisanog ug</w:t>
      </w:r>
      <w:r w:rsidRPr="004D3BB3">
        <w:rPr>
          <w:b/>
        </w:rPr>
        <w:t>ovora o dodjeli bespovratne potpore i zadužnice u predviđenom roku, smatrat će se da je odustao od dodijeljene bespovratne potpore.</w:t>
      </w:r>
    </w:p>
    <w:p w:rsidR="00232EC5" w:rsidRPr="004D3BB3" w:rsidRDefault="00232EC5" w:rsidP="00EE63CD">
      <w:pPr>
        <w:spacing w:before="240" w:after="0" w:line="240" w:lineRule="auto"/>
        <w:jc w:val="both"/>
        <w:rPr>
          <w:b/>
        </w:rPr>
      </w:pPr>
    </w:p>
    <w:p w:rsidR="00ED15F6" w:rsidRDefault="004D3BB3" w:rsidP="004D3BB3">
      <w:pPr>
        <w:spacing w:before="240" w:after="0" w:line="240" w:lineRule="auto"/>
        <w:jc w:val="both"/>
      </w:pPr>
      <w:r w:rsidRPr="004D3BB3">
        <w:t xml:space="preserve">Obveza Korisnika je da aktivnosti temeljem kojih su mu odobrena bespovratna sredstva provede u cijelosti i da u roku od 6 mjeseci (180 dana) od dana potpisivanja </w:t>
      </w:r>
      <w:r w:rsidR="005E2641">
        <w:t>u</w:t>
      </w:r>
      <w:r w:rsidRPr="004D3BB3">
        <w:t xml:space="preserve">govora o dodjeli bespovratne potpore dostavi Ministarstvu obrazac Izvještaja o korištenju sredstava po </w:t>
      </w:r>
      <w:r w:rsidR="005E2641">
        <w:t>u</w:t>
      </w:r>
      <w:r w:rsidRPr="004D3BB3">
        <w:t>govoru o dodijeljenoj bespovratnoj potpori. Ukoliko su za provedbu aktivnosti bespovratna sredstva odobrena temeljem ponuda, predračuna i troškovnika, uz navedeni Izvještaj, potrebno je dostaviti dokaze da su sredstva utrošena namjenski - račune i izvode s bankovnog žiro računa kojima se dokazuje izvršeno plaćanje.</w:t>
      </w:r>
    </w:p>
    <w:p w:rsidR="00ED15F6" w:rsidRDefault="00ED15F6" w:rsidP="00827ABC">
      <w:pPr>
        <w:spacing w:before="240" w:after="0" w:line="240" w:lineRule="auto"/>
        <w:jc w:val="both"/>
      </w:pPr>
      <w:r w:rsidRPr="00827ABC">
        <w:t xml:space="preserve">Korisnik se obvezuje </w:t>
      </w:r>
      <w:r w:rsidR="009D34CB">
        <w:t xml:space="preserve">nastaviti </w:t>
      </w:r>
      <w:r w:rsidR="00A11673">
        <w:t>gospodarsku</w:t>
      </w:r>
      <w:r w:rsidR="009D34CB">
        <w:t xml:space="preserve"> </w:t>
      </w:r>
      <w:r w:rsidR="00A11673">
        <w:t>djelatnost</w:t>
      </w:r>
      <w:r w:rsidRPr="00827ABC">
        <w:t xml:space="preserve"> na području Sisačko-moslavačke županije</w:t>
      </w:r>
      <w:r w:rsidR="00827ABC">
        <w:t xml:space="preserve"> te do kraja 2021. godine ne može pokrenuti</w:t>
      </w:r>
      <w:r w:rsidR="00827ABC" w:rsidRPr="00697AA4">
        <w:t xml:space="preserve"> stečajni postupak, postupak </w:t>
      </w:r>
      <w:proofErr w:type="spellStart"/>
      <w:r w:rsidR="00827ABC" w:rsidRPr="00697AA4">
        <w:t>predstečajne</w:t>
      </w:r>
      <w:proofErr w:type="spellEnd"/>
      <w:r w:rsidR="00827ABC" w:rsidRPr="00697AA4">
        <w:t xml:space="preserve"> nagodbe ili postupak likvidacije</w:t>
      </w:r>
      <w:r w:rsidRPr="00827ABC">
        <w:t>.</w:t>
      </w:r>
    </w:p>
    <w:p w:rsidR="004D3BB3" w:rsidRPr="004D3BB3" w:rsidRDefault="004D3BB3" w:rsidP="004D3BB3">
      <w:pPr>
        <w:spacing w:before="240" w:after="0" w:line="240" w:lineRule="auto"/>
        <w:jc w:val="both"/>
      </w:pPr>
      <w:r w:rsidRPr="004D3BB3">
        <w:t>Za svaku izmjenu aktivnosti i namjena, Korisnik potpore dužan je prethodno zatražiti suglasnost Ministarstva.</w:t>
      </w:r>
    </w:p>
    <w:p w:rsidR="004D3BB3" w:rsidRPr="005F4D2C" w:rsidRDefault="004D3BB3" w:rsidP="005F4D2C">
      <w:pPr>
        <w:spacing w:before="240" w:after="0" w:line="240" w:lineRule="auto"/>
        <w:jc w:val="both"/>
      </w:pPr>
      <w:r w:rsidRPr="004D3BB3">
        <w:t>Zahtjev Korisnika za produljenje ugovorenog roka za dostavu dokaza o namjenskom utrošku dodijeljenih sredstava Ministarstvu se može podnijeti najkasnije 10 dana prije isteka ugovorenog roka.</w:t>
      </w:r>
    </w:p>
    <w:p w:rsidR="005E6A8A" w:rsidRPr="005E6A8A" w:rsidRDefault="005E6A8A" w:rsidP="005E6A8A">
      <w:pPr>
        <w:spacing w:before="240" w:after="0" w:line="240" w:lineRule="auto"/>
        <w:jc w:val="both"/>
      </w:pPr>
      <w:r w:rsidRPr="005E6A8A">
        <w:rPr>
          <w:b/>
        </w:rPr>
        <w:t>NAPOMENA: Ponude, predračuni i troškovnici ne predstavljaju prihvatljiv dokaz o namjenskom trošenju sredstava. Nalog za plaćanje, potvrda o izvršenom plaćanju, carinske deklaracije, kompenzacija i cesija ne prihvaćaju se kao dokaz o izvršenom plaćanju.</w:t>
      </w:r>
    </w:p>
    <w:p w:rsidR="005E6A8A" w:rsidRPr="005E6A8A" w:rsidRDefault="005E6A8A" w:rsidP="005E6A8A">
      <w:pPr>
        <w:spacing w:before="240" w:after="0" w:line="240" w:lineRule="auto"/>
        <w:jc w:val="both"/>
      </w:pPr>
      <w:r w:rsidRPr="005E6A8A">
        <w:t xml:space="preserve">Korisnik svojim potpisom </w:t>
      </w:r>
      <w:r w:rsidR="005E2641">
        <w:t>u</w:t>
      </w:r>
      <w:r w:rsidRPr="005E6A8A">
        <w:t>govora o dodjeli bespovratne potpore pristaje na javnu objavu svojih podataka u kontekstu dodjele potpora.</w:t>
      </w:r>
    </w:p>
    <w:p w:rsidR="004D3BB3" w:rsidRDefault="005E6A8A" w:rsidP="005F4D2C">
      <w:pPr>
        <w:spacing w:before="240" w:line="240" w:lineRule="auto"/>
        <w:jc w:val="both"/>
      </w:pPr>
      <w:r w:rsidRPr="005E6A8A">
        <w:t xml:space="preserve">Korisnik bespovratne potpore dužan je o vlastitom trošku istaknuti na vidljivom mjestu (mrežnoj stranici i predmetu nabave u okviru provedenog projekta) informaciju da je za provedbu projekta ostvario bespovratna sredstva iz </w:t>
      </w:r>
      <w:r w:rsidR="005E2641">
        <w:t>d</w:t>
      </w:r>
      <w:r w:rsidRPr="005E6A8A">
        <w:t>ržavnog proračuna Republike Hrvatske, odnosno da su sredstva dodijeljena od strane Ministarstva. Predlošci će biti dostupni na mrežnim stranicama Ministarstva.</w:t>
      </w:r>
    </w:p>
    <w:p w:rsidR="00800304" w:rsidRPr="004D3BB3" w:rsidRDefault="00800304" w:rsidP="004B4F5E">
      <w:pPr>
        <w:spacing w:after="0"/>
        <w:rPr>
          <w:bCs/>
        </w:rPr>
      </w:pPr>
    </w:p>
    <w:p w:rsidR="006637E0" w:rsidRPr="003F4B26" w:rsidRDefault="000E46EA" w:rsidP="00AD13C2">
      <w:pPr>
        <w:rPr>
          <w:b/>
          <w:bCs/>
        </w:rPr>
      </w:pPr>
      <w:r>
        <w:rPr>
          <w:b/>
          <w:bCs/>
        </w:rPr>
        <w:t>1</w:t>
      </w:r>
      <w:r w:rsidR="001C0670">
        <w:rPr>
          <w:b/>
          <w:bCs/>
        </w:rPr>
        <w:t>3</w:t>
      </w:r>
      <w:r w:rsidR="006637E0" w:rsidRPr="003F4B26">
        <w:rPr>
          <w:b/>
          <w:bCs/>
        </w:rPr>
        <w:t>. NADZOR</w:t>
      </w:r>
    </w:p>
    <w:p w:rsidR="00A035EA" w:rsidRPr="00A035EA" w:rsidRDefault="00A035EA" w:rsidP="00A035EA">
      <w:pPr>
        <w:jc w:val="both"/>
        <w:rPr>
          <w:rFonts w:ascii="Minion Pro" w:eastAsia="Times New Roman" w:hAnsi="Minion Pro"/>
          <w:color w:val="000000"/>
        </w:rPr>
      </w:pPr>
      <w:r w:rsidRPr="00A035EA">
        <w:rPr>
          <w:rFonts w:ascii="Minion Pro" w:eastAsia="Times New Roman" w:hAnsi="Minion Pro"/>
          <w:color w:val="000000"/>
        </w:rPr>
        <w:t>U svrhu provođenja kontrole namjenskog kor</w:t>
      </w:r>
      <w:r w:rsidR="00D351BE">
        <w:rPr>
          <w:rFonts w:ascii="Minion Pro" w:eastAsia="Times New Roman" w:hAnsi="Minion Pro"/>
          <w:color w:val="000000"/>
        </w:rPr>
        <w:t>ištenja sredstava Ministarstvo</w:t>
      </w:r>
      <w:r w:rsidRPr="00A035EA">
        <w:rPr>
          <w:rFonts w:ascii="Minion Pro" w:eastAsia="Times New Roman" w:hAnsi="Minion Pro"/>
          <w:color w:val="000000"/>
        </w:rPr>
        <w:t xml:space="preserve"> je ovlašteno izvršiti provjeru korištenja odobrenih sredstava obilaskom Korisnika i njegovih poslovnih objekata te  uvidom u dokumentaciju na temelju koje je ostvarena potpora.</w:t>
      </w:r>
    </w:p>
    <w:p w:rsidR="00A035EA" w:rsidRPr="00A035EA" w:rsidRDefault="00A035EA" w:rsidP="00A035EA">
      <w:pPr>
        <w:jc w:val="both"/>
        <w:rPr>
          <w:rFonts w:ascii="Minion Pro" w:eastAsia="Times New Roman" w:hAnsi="Minion Pro"/>
          <w:color w:val="000000"/>
        </w:rPr>
      </w:pPr>
      <w:r w:rsidRPr="00A035EA">
        <w:rPr>
          <w:rFonts w:ascii="Minion Pro" w:eastAsia="Times New Roman" w:hAnsi="Minion Pro"/>
          <w:color w:val="000000"/>
        </w:rPr>
        <w:t>Korisnici kod kojih se prilikom kontrole utvrdi nenamjensko trošenje sredstava, bit će dužni vratiti dodijeljena sredstva s pripadajućom zakonskom zateznom kamatom te će ih se uvrstiti na popis korisnika koji nisu namjenski koristili sredstva.</w:t>
      </w:r>
    </w:p>
    <w:p w:rsidR="005F4D2C" w:rsidRDefault="00A035EA" w:rsidP="00827ABC">
      <w:pPr>
        <w:jc w:val="both"/>
        <w:rPr>
          <w:rFonts w:ascii="Minion Pro" w:eastAsia="Times New Roman" w:hAnsi="Minion Pro"/>
          <w:color w:val="000000"/>
        </w:rPr>
      </w:pPr>
      <w:r w:rsidRPr="00A035EA">
        <w:rPr>
          <w:rFonts w:ascii="Minion Pro" w:eastAsia="Times New Roman" w:hAnsi="Minion Pro"/>
          <w:color w:val="000000"/>
        </w:rPr>
        <w:t>Ukoliko Korisnik</w:t>
      </w:r>
      <w:r w:rsidR="005E2641">
        <w:rPr>
          <w:rFonts w:ascii="Minion Pro" w:eastAsia="Times New Roman" w:hAnsi="Minion Pro"/>
          <w:color w:val="000000"/>
        </w:rPr>
        <w:t xml:space="preserve"> ne izvrši sve obveze preuzete u</w:t>
      </w:r>
      <w:r w:rsidRPr="00A035EA">
        <w:rPr>
          <w:rFonts w:ascii="Minion Pro" w:eastAsia="Times New Roman" w:hAnsi="Minion Pro"/>
          <w:color w:val="000000"/>
        </w:rPr>
        <w:t>govorom o dodjeli bespovratne potpore, odnosno ovim Programom i dokumentacijom koja je sastavni dio istog ili ne izvrši povrat nenamjenski odnosno neopravdano iskorištenih sredstava, Ministarstvo ima pravo podnijeti bjanko zadužnicu na prisilnu naplatu dodijeljene potpore s pripadajućim zakonskim kamatama.</w:t>
      </w:r>
    </w:p>
    <w:p w:rsidR="00827ABC" w:rsidRPr="00827ABC" w:rsidRDefault="00827ABC" w:rsidP="00827ABC">
      <w:pPr>
        <w:spacing w:after="0"/>
        <w:jc w:val="both"/>
        <w:rPr>
          <w:rFonts w:ascii="Minion Pro" w:eastAsia="Times New Roman" w:hAnsi="Minion Pro"/>
          <w:color w:val="000000"/>
        </w:rPr>
      </w:pPr>
    </w:p>
    <w:p w:rsidR="00B343A2" w:rsidRPr="00B343A2" w:rsidRDefault="000E46EA" w:rsidP="008809D5">
      <w:pPr>
        <w:rPr>
          <w:b/>
          <w:bCs/>
        </w:rPr>
      </w:pPr>
      <w:r>
        <w:rPr>
          <w:b/>
          <w:bCs/>
        </w:rPr>
        <w:t>1</w:t>
      </w:r>
      <w:r w:rsidR="001C0670">
        <w:rPr>
          <w:b/>
          <w:bCs/>
        </w:rPr>
        <w:t>4</w:t>
      </w:r>
      <w:r w:rsidR="00B343A2">
        <w:rPr>
          <w:b/>
          <w:bCs/>
        </w:rPr>
        <w:t xml:space="preserve">. </w:t>
      </w:r>
      <w:r w:rsidR="00B343A2" w:rsidRPr="00B343A2">
        <w:rPr>
          <w:b/>
          <w:bCs/>
        </w:rPr>
        <w:t>ZBRAJANJE POTPORA</w:t>
      </w:r>
    </w:p>
    <w:p w:rsidR="000E12B0" w:rsidRDefault="00B343A2" w:rsidP="000E12B0">
      <w:pPr>
        <w:pStyle w:val="ListParagraph"/>
        <w:numPr>
          <w:ilvl w:val="0"/>
          <w:numId w:val="16"/>
        </w:numPr>
        <w:spacing w:after="120" w:line="240" w:lineRule="auto"/>
        <w:ind w:left="357" w:right="-1" w:hanging="357"/>
        <w:jc w:val="both"/>
        <w:rPr>
          <w:rStyle w:val="hps"/>
        </w:rPr>
      </w:pPr>
      <w:r w:rsidRPr="0070183E">
        <w:rPr>
          <w:rStyle w:val="hps"/>
        </w:rPr>
        <w:t xml:space="preserve">Potpore male vrijednosti koje se dodjeljuju u skladu s </w:t>
      </w:r>
      <w:r w:rsidR="00687A85">
        <w:t xml:space="preserve">Uredbom (EU) br. 1407/2013 </w:t>
      </w:r>
      <w:r w:rsidRPr="0070183E">
        <w:rPr>
          <w:rStyle w:val="hps"/>
        </w:rPr>
        <w:t xml:space="preserve">mogu se kumulirati s potporama male vrijednosti, dodijeljenima u skladu s Uredbom Europske komisije (EU) br. 360/2012 (15) o primjeni članaka 107. i 108. Ugovora o funkcioniranju Europske Unije na potpore </w:t>
      </w:r>
      <w:r w:rsidRPr="0070183E">
        <w:rPr>
          <w:rStyle w:val="hps"/>
          <w:i/>
        </w:rPr>
        <w:t xml:space="preserve">de </w:t>
      </w:r>
      <w:proofErr w:type="spellStart"/>
      <w:r w:rsidRPr="0070183E">
        <w:rPr>
          <w:rStyle w:val="hps"/>
          <w:i/>
        </w:rPr>
        <w:t>minimis</w:t>
      </w:r>
      <w:proofErr w:type="spellEnd"/>
      <w:r w:rsidRPr="0070183E">
        <w:rPr>
          <w:rStyle w:val="hps"/>
        </w:rPr>
        <w:t xml:space="preserve"> koje se dodjeljuju poduzetnicima koji pružaju usluge od općeg gospodarskog interesa (SL L 114, 26.4.2012., str. 8.</w:t>
      </w:r>
      <w:r w:rsidR="00687A85">
        <w:rPr>
          <w:rStyle w:val="hps"/>
        </w:rPr>
        <w:t>)</w:t>
      </w:r>
      <w:r w:rsidRPr="0070183E">
        <w:rPr>
          <w:rStyle w:val="hps"/>
        </w:rPr>
        <w:t xml:space="preserve"> </w:t>
      </w:r>
      <w:r w:rsidR="00687A85">
        <w:rPr>
          <w:rStyle w:val="hps"/>
        </w:rPr>
        <w:t>(</w:t>
      </w:r>
      <w:r w:rsidRPr="0070183E">
        <w:rPr>
          <w:rStyle w:val="hps"/>
        </w:rPr>
        <w:t xml:space="preserve">u daljnjem tekstu: Uredba 360/2012), do gornjih granica utvrđenih u Uredbi 360/2012. </w:t>
      </w:r>
    </w:p>
    <w:p w:rsidR="00B343A2" w:rsidRPr="0070183E" w:rsidRDefault="00B343A2" w:rsidP="000E12B0">
      <w:pPr>
        <w:pStyle w:val="ListParagraph"/>
        <w:numPr>
          <w:ilvl w:val="0"/>
          <w:numId w:val="16"/>
        </w:numPr>
        <w:spacing w:after="120" w:line="240" w:lineRule="auto"/>
        <w:ind w:left="357" w:right="-1" w:hanging="357"/>
        <w:jc w:val="both"/>
        <w:rPr>
          <w:rStyle w:val="hps"/>
        </w:rPr>
      </w:pPr>
      <w:r w:rsidRPr="0070183E">
        <w:rPr>
          <w:rStyle w:val="hps"/>
        </w:rPr>
        <w:t xml:space="preserve">Potpore male vrijednosti se mogu zbrajati s bilo kojom drugom državnom potporom koja se odnosi na iste prihvatljive troškove, bilo da se oni djelomično ili potpuno preklapaju, isključivo ako to zbrajanje ne dovodi do premašivanja najvišeg intenziteta potpore ili iznosa potpore koji je primjenjiv na tu potporu na temelju Programa i Uredbe </w:t>
      </w:r>
      <w:r w:rsidR="00AE42F2">
        <w:rPr>
          <w:rStyle w:val="hps"/>
        </w:rPr>
        <w:t xml:space="preserve">(EU) br. </w:t>
      </w:r>
      <w:r w:rsidRPr="0070183E">
        <w:rPr>
          <w:rStyle w:val="hps"/>
        </w:rPr>
        <w:t xml:space="preserve">651/2014, odnosno </w:t>
      </w:r>
      <w:r w:rsidR="00456A2B" w:rsidRPr="00456A2B">
        <w:rPr>
          <w:rStyle w:val="hps"/>
        </w:rPr>
        <w:t xml:space="preserve">iznos koji je u konkretnim okolnostima utvrđen </w:t>
      </w:r>
      <w:r w:rsidRPr="0070183E">
        <w:rPr>
          <w:rStyle w:val="hps"/>
        </w:rPr>
        <w:t xml:space="preserve">odlukom Europske komisije. </w:t>
      </w:r>
    </w:p>
    <w:p w:rsidR="00B343A2" w:rsidRPr="0070183E" w:rsidRDefault="00B343A2" w:rsidP="0070183E">
      <w:pPr>
        <w:pStyle w:val="ListParagraph"/>
        <w:numPr>
          <w:ilvl w:val="0"/>
          <w:numId w:val="16"/>
        </w:numPr>
        <w:spacing w:after="120" w:line="240" w:lineRule="auto"/>
        <w:ind w:left="357" w:right="-1" w:hanging="357"/>
        <w:jc w:val="both"/>
        <w:rPr>
          <w:rStyle w:val="hps"/>
        </w:rPr>
      </w:pPr>
      <w:r w:rsidRPr="0070183E">
        <w:rPr>
          <w:rStyle w:val="hps"/>
        </w:rPr>
        <w:t xml:space="preserve">Potpore male vrijednosti koje nisu dodijeljene za određene opravdane troškove ili se njima ne mogu pripisati mogu se kumulirati s drugim državnim potporama dodijeljenima u skladu s Uredbom </w:t>
      </w:r>
      <w:r w:rsidR="00AE42F2">
        <w:rPr>
          <w:rStyle w:val="hps"/>
        </w:rPr>
        <w:t xml:space="preserve">(EU) br. </w:t>
      </w:r>
      <w:r w:rsidR="00AE42F2" w:rsidRPr="0070183E">
        <w:rPr>
          <w:rStyle w:val="hps"/>
        </w:rPr>
        <w:t>651/</w:t>
      </w:r>
      <w:r w:rsidR="00AE42F2" w:rsidRPr="009B3F5A">
        <w:rPr>
          <w:rStyle w:val="hps"/>
        </w:rPr>
        <w:t>2014 ili odlukom Europske komisije</w:t>
      </w:r>
      <w:r w:rsidR="00133B45" w:rsidRPr="009B3F5A">
        <w:rPr>
          <w:rStyle w:val="hps"/>
        </w:rPr>
        <w:t xml:space="preserve"> prema odredbi članka 5. stavka</w:t>
      </w:r>
      <w:r w:rsidRPr="009B3F5A">
        <w:rPr>
          <w:rStyle w:val="hps"/>
        </w:rPr>
        <w:t xml:space="preserve"> 2. </w:t>
      </w:r>
      <w:r w:rsidR="00687A85" w:rsidRPr="009B3F5A">
        <w:t>Uredbe (EU) br. 1407/2013</w:t>
      </w:r>
      <w:r w:rsidRPr="009B3F5A">
        <w:rPr>
          <w:rStyle w:val="hps"/>
        </w:rPr>
        <w:t>.</w:t>
      </w:r>
    </w:p>
    <w:p w:rsidR="00B343A2" w:rsidRPr="0070183E" w:rsidRDefault="00B343A2" w:rsidP="0070183E">
      <w:pPr>
        <w:pStyle w:val="ListParagraph"/>
        <w:numPr>
          <w:ilvl w:val="0"/>
          <w:numId w:val="16"/>
        </w:numPr>
        <w:spacing w:after="120" w:line="240" w:lineRule="auto"/>
        <w:ind w:left="357" w:right="-1" w:hanging="357"/>
        <w:jc w:val="both"/>
        <w:rPr>
          <w:rStyle w:val="hps"/>
        </w:rPr>
      </w:pPr>
      <w:r w:rsidRPr="0070183E">
        <w:rPr>
          <w:rStyle w:val="hps"/>
        </w:rPr>
        <w:t xml:space="preserve">Potpore male vrijednosti koje se dodjeljuju u skladu s </w:t>
      </w:r>
      <w:r w:rsidR="00687A85">
        <w:t xml:space="preserve">Uredbom (EU) br. 1407/2013 </w:t>
      </w:r>
      <w:r w:rsidRPr="0070183E">
        <w:rPr>
          <w:rStyle w:val="hps"/>
        </w:rPr>
        <w:t xml:space="preserve">mogu se kumulirati s potporama male vrijednosti dodijeljenima u skladu s drugim uredbama o potporama male vrijednosti do odgovarajuće gornje granice utvrđene člankom 3. stavkom 2. </w:t>
      </w:r>
      <w:r w:rsidR="00687A85">
        <w:t>Uredbe (EU) br. 1407/2013</w:t>
      </w:r>
      <w:r w:rsidRPr="0070183E">
        <w:rPr>
          <w:rStyle w:val="hps"/>
        </w:rPr>
        <w:t xml:space="preserve">. </w:t>
      </w:r>
    </w:p>
    <w:p w:rsidR="000E4411" w:rsidRPr="00133B45" w:rsidRDefault="00B343A2" w:rsidP="00AB2743">
      <w:pPr>
        <w:pStyle w:val="ListParagraph"/>
        <w:numPr>
          <w:ilvl w:val="0"/>
          <w:numId w:val="16"/>
        </w:numPr>
        <w:spacing w:after="120" w:line="240" w:lineRule="auto"/>
        <w:ind w:left="357" w:right="-1" w:hanging="357"/>
        <w:jc w:val="both"/>
        <w:rPr>
          <w:rStyle w:val="hps"/>
          <w:b/>
          <w:bCs/>
        </w:rPr>
      </w:pPr>
      <w:r w:rsidRPr="00133B45">
        <w:rPr>
          <w:rStyle w:val="hps"/>
        </w:rPr>
        <w:t xml:space="preserve">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w:t>
      </w:r>
      <w:r w:rsidR="00AE42F2" w:rsidRPr="00133B45">
        <w:rPr>
          <w:rStyle w:val="hps"/>
        </w:rPr>
        <w:t>(EU) br.</w:t>
      </w:r>
      <w:r w:rsidRPr="00133B45">
        <w:rPr>
          <w:rStyle w:val="hps"/>
        </w:rPr>
        <w:t xml:space="preserve"> 651/2014  odnosno odlukom Europske komisije. </w:t>
      </w:r>
    </w:p>
    <w:p w:rsidR="00133B45" w:rsidRPr="000E46EA" w:rsidRDefault="00133B45" w:rsidP="000E46EA">
      <w:pPr>
        <w:spacing w:after="120" w:line="240" w:lineRule="auto"/>
        <w:ind w:right="-1"/>
        <w:jc w:val="both"/>
        <w:rPr>
          <w:b/>
          <w:bCs/>
        </w:rPr>
      </w:pPr>
    </w:p>
    <w:p w:rsidR="000E4411" w:rsidRPr="008809D5" w:rsidRDefault="008809D5" w:rsidP="008809D5">
      <w:pPr>
        <w:pStyle w:val="Default"/>
        <w:spacing w:after="240"/>
        <w:rPr>
          <w:rFonts w:ascii="Times New Roman" w:hAnsi="Times New Roman" w:cs="Times New Roman"/>
          <w:b/>
          <w:bCs/>
          <w:lang w:val="hr-HR"/>
        </w:rPr>
      </w:pPr>
      <w:r>
        <w:rPr>
          <w:rFonts w:ascii="Times New Roman" w:hAnsi="Times New Roman" w:cs="Times New Roman"/>
          <w:b/>
          <w:bCs/>
          <w:lang w:val="hr-HR"/>
        </w:rPr>
        <w:t>1</w:t>
      </w:r>
      <w:r w:rsidR="001C0670">
        <w:rPr>
          <w:rFonts w:ascii="Times New Roman" w:hAnsi="Times New Roman" w:cs="Times New Roman"/>
          <w:b/>
          <w:bCs/>
          <w:lang w:val="hr-HR"/>
        </w:rPr>
        <w:t>5</w:t>
      </w:r>
      <w:r w:rsidR="00A22D05" w:rsidRPr="008809D5">
        <w:rPr>
          <w:rFonts w:ascii="Times New Roman" w:hAnsi="Times New Roman" w:cs="Times New Roman"/>
          <w:b/>
          <w:bCs/>
          <w:lang w:val="hr-HR"/>
        </w:rPr>
        <w:t>. TRAJANJE PROGRAMA</w:t>
      </w:r>
    </w:p>
    <w:p w:rsidR="000E4411" w:rsidRDefault="000E4411" w:rsidP="001C17EF">
      <w:pPr>
        <w:spacing w:after="0" w:line="240" w:lineRule="auto"/>
        <w:ind w:right="-1"/>
        <w:jc w:val="both"/>
        <w:rPr>
          <w:rFonts w:eastAsia="Calibri"/>
        </w:rPr>
      </w:pPr>
      <w:r w:rsidRPr="008809D5">
        <w:rPr>
          <w:rFonts w:eastAsia="Calibri"/>
        </w:rPr>
        <w:t xml:space="preserve">Potpore male vrijednosti po ovom Programu mogu se dodijeliti od dana stupanja na snagu Programa do iskorištenja sredstava, a </w:t>
      </w:r>
      <w:r w:rsidR="008809D5">
        <w:rPr>
          <w:rFonts w:eastAsia="Calibri"/>
        </w:rPr>
        <w:t>najkasnije do 31. prosinca</w:t>
      </w:r>
      <w:r w:rsidRPr="008809D5">
        <w:rPr>
          <w:rFonts w:eastAsia="Calibri"/>
        </w:rPr>
        <w:t xml:space="preserve"> 2021.</w:t>
      </w:r>
    </w:p>
    <w:p w:rsidR="001C17EF" w:rsidRPr="008809D5" w:rsidRDefault="001C17EF" w:rsidP="001C17EF">
      <w:pPr>
        <w:spacing w:after="0" w:line="240" w:lineRule="auto"/>
        <w:ind w:right="-1"/>
        <w:jc w:val="both"/>
        <w:rPr>
          <w:rFonts w:eastAsia="Calibri"/>
        </w:rPr>
      </w:pPr>
    </w:p>
    <w:p w:rsidR="000E4411" w:rsidRDefault="00164868" w:rsidP="001C17EF">
      <w:pPr>
        <w:spacing w:after="0" w:line="240" w:lineRule="auto"/>
      </w:pPr>
      <w:r w:rsidRPr="008809D5">
        <w:t>Program stupa na snagu i primjenjuje se danom donošenja.</w:t>
      </w:r>
    </w:p>
    <w:p w:rsidR="008249F7" w:rsidRDefault="008249F7" w:rsidP="005F4D2C">
      <w:pPr>
        <w:spacing w:after="0"/>
      </w:pPr>
    </w:p>
    <w:p w:rsidR="00F6669B" w:rsidRPr="003F4B26" w:rsidRDefault="00F6669B" w:rsidP="005F4D2C">
      <w:pPr>
        <w:spacing w:after="0"/>
      </w:pPr>
    </w:p>
    <w:p w:rsidR="006637E0" w:rsidRPr="003F4B26" w:rsidRDefault="006637E0" w:rsidP="008809D5">
      <w:pPr>
        <w:pStyle w:val="Default"/>
        <w:spacing w:after="240"/>
        <w:rPr>
          <w:rFonts w:ascii="Times New Roman" w:hAnsi="Times New Roman" w:cs="Times New Roman"/>
          <w:lang w:val="hr-HR"/>
        </w:rPr>
      </w:pPr>
      <w:r w:rsidRPr="003F4B26">
        <w:rPr>
          <w:rFonts w:ascii="Times New Roman" w:hAnsi="Times New Roman" w:cs="Times New Roman"/>
          <w:b/>
          <w:bCs/>
          <w:lang w:val="hr-HR"/>
        </w:rPr>
        <w:t>1</w:t>
      </w:r>
      <w:r w:rsidR="001C0670">
        <w:rPr>
          <w:rFonts w:ascii="Times New Roman" w:hAnsi="Times New Roman" w:cs="Times New Roman"/>
          <w:b/>
          <w:bCs/>
          <w:lang w:val="hr-HR"/>
        </w:rPr>
        <w:t>6</w:t>
      </w:r>
      <w:r w:rsidRPr="003F4B26">
        <w:rPr>
          <w:rFonts w:ascii="Times New Roman" w:hAnsi="Times New Roman" w:cs="Times New Roman"/>
          <w:b/>
          <w:bCs/>
          <w:lang w:val="hr-HR"/>
        </w:rPr>
        <w:t xml:space="preserve">. ZAVRŠNE ODREDBE </w:t>
      </w:r>
    </w:p>
    <w:p w:rsidR="006637E0" w:rsidRDefault="006637E0" w:rsidP="00895762">
      <w:pPr>
        <w:pStyle w:val="Default"/>
        <w:jc w:val="both"/>
        <w:rPr>
          <w:rFonts w:ascii="Times New Roman" w:hAnsi="Times New Roman" w:cs="Times New Roman"/>
          <w:lang w:val="hr-HR"/>
        </w:rPr>
      </w:pPr>
      <w:r w:rsidRPr="003F4B26">
        <w:rPr>
          <w:rFonts w:ascii="Times New Roman" w:hAnsi="Times New Roman" w:cs="Times New Roman"/>
          <w:lang w:val="hr-HR"/>
        </w:rPr>
        <w:t>Provedba ovog</w:t>
      </w:r>
      <w:r w:rsidR="001C17EF">
        <w:rPr>
          <w:rFonts w:ascii="Times New Roman" w:hAnsi="Times New Roman" w:cs="Times New Roman"/>
          <w:lang w:val="hr-HR"/>
        </w:rPr>
        <w:t>a</w:t>
      </w:r>
      <w:r w:rsidRPr="003F4B26">
        <w:rPr>
          <w:rFonts w:ascii="Times New Roman" w:hAnsi="Times New Roman" w:cs="Times New Roman"/>
          <w:lang w:val="hr-HR"/>
        </w:rPr>
        <w:t xml:space="preserve"> Programa ne predstavlja upravni postupak i u procesu odobravanja</w:t>
      </w:r>
      <w:r w:rsidR="001C17EF">
        <w:rPr>
          <w:rFonts w:ascii="Times New Roman" w:hAnsi="Times New Roman" w:cs="Times New Roman"/>
          <w:lang w:val="hr-HR"/>
        </w:rPr>
        <w:t>,</w:t>
      </w:r>
      <w:r w:rsidRPr="003F4B26">
        <w:rPr>
          <w:rFonts w:ascii="Times New Roman" w:hAnsi="Times New Roman" w:cs="Times New Roman"/>
          <w:lang w:val="hr-HR"/>
        </w:rPr>
        <w:t xml:space="preserve"> odnosno odbijanja zahtjeva ne izdaju se upravni akti. </w:t>
      </w:r>
    </w:p>
    <w:p w:rsidR="00AE42F2" w:rsidRPr="003F4B26" w:rsidRDefault="00AE42F2" w:rsidP="00895762">
      <w:pPr>
        <w:pStyle w:val="Default"/>
        <w:jc w:val="both"/>
        <w:rPr>
          <w:rFonts w:ascii="Times New Roman" w:hAnsi="Times New Roman" w:cs="Times New Roman"/>
          <w:lang w:val="hr-HR"/>
        </w:rPr>
      </w:pPr>
    </w:p>
    <w:p w:rsidR="00164868" w:rsidRDefault="00164868" w:rsidP="00895762">
      <w:pPr>
        <w:pStyle w:val="Default"/>
        <w:jc w:val="both"/>
        <w:rPr>
          <w:rFonts w:ascii="Times New Roman" w:hAnsi="Times New Roman" w:cs="Times New Roman"/>
          <w:lang w:val="hr-HR"/>
        </w:rPr>
      </w:pPr>
      <w:r w:rsidRPr="00164868">
        <w:rPr>
          <w:rFonts w:ascii="Times New Roman" w:hAnsi="Times New Roman" w:cs="Times New Roman"/>
          <w:lang w:val="hr-HR"/>
        </w:rPr>
        <w:t>Ministarstvo će bilježiti i prikupljati sve informacije u</w:t>
      </w:r>
      <w:r w:rsidR="00A756B3">
        <w:rPr>
          <w:rFonts w:ascii="Times New Roman" w:hAnsi="Times New Roman" w:cs="Times New Roman"/>
          <w:lang w:val="hr-HR"/>
        </w:rPr>
        <w:t xml:space="preserve"> vezi s primjenom ovog</w:t>
      </w:r>
      <w:r w:rsidR="001C17EF">
        <w:rPr>
          <w:rFonts w:ascii="Times New Roman" w:hAnsi="Times New Roman" w:cs="Times New Roman"/>
          <w:lang w:val="hr-HR"/>
        </w:rPr>
        <w:t>a</w:t>
      </w:r>
      <w:r w:rsidR="00A756B3">
        <w:rPr>
          <w:rFonts w:ascii="Times New Roman" w:hAnsi="Times New Roman" w:cs="Times New Roman"/>
          <w:lang w:val="hr-HR"/>
        </w:rPr>
        <w:t xml:space="preserve"> Programa, a</w:t>
      </w:r>
      <w:r w:rsidR="00F6669B">
        <w:rPr>
          <w:rFonts w:ascii="Times New Roman" w:hAnsi="Times New Roman" w:cs="Times New Roman"/>
          <w:lang w:val="hr-HR"/>
        </w:rPr>
        <w:t xml:space="preserve"> koje su potrebne kako bi se dokazala ispunjenost uvjeta</w:t>
      </w:r>
      <w:r w:rsidRPr="00164868">
        <w:rPr>
          <w:rFonts w:ascii="Times New Roman" w:hAnsi="Times New Roman" w:cs="Times New Roman"/>
          <w:lang w:val="hr-HR"/>
        </w:rPr>
        <w:t xml:space="preserve"> iz </w:t>
      </w:r>
      <w:r w:rsidR="00687A85" w:rsidRPr="00687A85">
        <w:rPr>
          <w:rFonts w:ascii="Times New Roman" w:hAnsi="Times New Roman" w:cs="Times New Roman"/>
          <w:lang w:val="hr-HR"/>
        </w:rPr>
        <w:t>Uredbe (EU) br. 1407/2013</w:t>
      </w:r>
      <w:r w:rsidRPr="00687A85">
        <w:rPr>
          <w:rFonts w:ascii="Times New Roman" w:hAnsi="Times New Roman" w:cs="Times New Roman"/>
          <w:lang w:val="hr-HR"/>
        </w:rPr>
        <w:t>.</w:t>
      </w:r>
    </w:p>
    <w:p w:rsidR="001C17EF" w:rsidRDefault="001C17EF" w:rsidP="00895762">
      <w:pPr>
        <w:pStyle w:val="Default"/>
        <w:jc w:val="both"/>
        <w:rPr>
          <w:rFonts w:ascii="Times New Roman" w:hAnsi="Times New Roman" w:cs="Times New Roman"/>
          <w:lang w:val="hr-HR"/>
        </w:rPr>
      </w:pPr>
    </w:p>
    <w:p w:rsidR="00816F7D" w:rsidRDefault="00816F7D" w:rsidP="00895762">
      <w:pPr>
        <w:pStyle w:val="Default"/>
        <w:jc w:val="both"/>
        <w:rPr>
          <w:rFonts w:ascii="Times New Roman" w:hAnsi="Times New Roman" w:cs="Times New Roman"/>
          <w:lang w:val="hr-HR"/>
        </w:rPr>
      </w:pPr>
      <w:r w:rsidRPr="00816F7D">
        <w:rPr>
          <w:rFonts w:ascii="Times New Roman" w:hAnsi="Times New Roman" w:cs="Times New Roman"/>
          <w:lang w:val="hr-HR"/>
        </w:rPr>
        <w:t xml:space="preserve">Zapisi o pojedinim de </w:t>
      </w:r>
      <w:proofErr w:type="spellStart"/>
      <w:r w:rsidRPr="00816F7D">
        <w:rPr>
          <w:rFonts w:ascii="Times New Roman" w:hAnsi="Times New Roman" w:cs="Times New Roman"/>
          <w:lang w:val="hr-HR"/>
        </w:rPr>
        <w:t>minimis</w:t>
      </w:r>
      <w:proofErr w:type="spellEnd"/>
      <w:r w:rsidRPr="00816F7D">
        <w:rPr>
          <w:rFonts w:ascii="Times New Roman" w:hAnsi="Times New Roman" w:cs="Times New Roman"/>
          <w:lang w:val="hr-HR"/>
        </w:rPr>
        <w:t xml:space="preserve"> potporama čuvaju se 10 fiskalnih godina od datuma kada su dodijeljene. Zapisi koje se odnose na program de </w:t>
      </w:r>
      <w:proofErr w:type="spellStart"/>
      <w:r w:rsidRPr="00816F7D">
        <w:rPr>
          <w:rFonts w:ascii="Times New Roman" w:hAnsi="Times New Roman" w:cs="Times New Roman"/>
          <w:lang w:val="hr-HR"/>
        </w:rPr>
        <w:t>minimis</w:t>
      </w:r>
      <w:proofErr w:type="spellEnd"/>
      <w:r w:rsidRPr="00816F7D">
        <w:rPr>
          <w:rFonts w:ascii="Times New Roman" w:hAnsi="Times New Roman" w:cs="Times New Roman"/>
          <w:lang w:val="hr-HR"/>
        </w:rPr>
        <w:t xml:space="preserve"> potpora čuvaju se 10 fiskalnih godina od datuma kada je dodijeljena posljednja pojedinačna potpora u okviru takvog programa.</w:t>
      </w:r>
    </w:p>
    <w:p w:rsidR="00AE42F2" w:rsidRDefault="00AE42F2" w:rsidP="00895762">
      <w:pPr>
        <w:pStyle w:val="Default"/>
        <w:jc w:val="both"/>
        <w:rPr>
          <w:rFonts w:ascii="Times New Roman" w:hAnsi="Times New Roman" w:cs="Times New Roman"/>
          <w:lang w:val="hr-HR"/>
        </w:rPr>
      </w:pPr>
    </w:p>
    <w:p w:rsidR="006637E0" w:rsidRDefault="006637E0" w:rsidP="00895762">
      <w:pPr>
        <w:pStyle w:val="Default"/>
        <w:jc w:val="both"/>
        <w:rPr>
          <w:rFonts w:ascii="Times New Roman" w:hAnsi="Times New Roman" w:cs="Times New Roman"/>
          <w:lang w:val="hr-HR"/>
        </w:rPr>
      </w:pPr>
      <w:r w:rsidRPr="003F4B26">
        <w:rPr>
          <w:rFonts w:ascii="Times New Roman" w:hAnsi="Times New Roman" w:cs="Times New Roman"/>
          <w:lang w:val="hr-HR"/>
        </w:rPr>
        <w:t>Svi osobni podaci navedeni u Prijavi i dokumentaciji koristit će se sukladno Općoj uredbi o zaštiti podataka (GDPR) i Zakonu o prov</w:t>
      </w:r>
      <w:r w:rsidR="006B19DD">
        <w:rPr>
          <w:rFonts w:ascii="Times New Roman" w:hAnsi="Times New Roman" w:cs="Times New Roman"/>
          <w:lang w:val="hr-HR"/>
        </w:rPr>
        <w:t>edbi Opće uredbe („Narodne novine“</w:t>
      </w:r>
      <w:r w:rsidRPr="003F4B26">
        <w:rPr>
          <w:rFonts w:ascii="Times New Roman" w:hAnsi="Times New Roman" w:cs="Times New Roman"/>
          <w:lang w:val="hr-HR"/>
        </w:rPr>
        <w:t>, broj 42/18</w:t>
      </w:r>
      <w:r w:rsidR="001C17EF">
        <w:rPr>
          <w:rFonts w:ascii="Times New Roman" w:hAnsi="Times New Roman" w:cs="Times New Roman"/>
          <w:lang w:val="hr-HR"/>
        </w:rPr>
        <w:t>.</w:t>
      </w:r>
      <w:r w:rsidRPr="003F4B26">
        <w:rPr>
          <w:rFonts w:ascii="Times New Roman" w:hAnsi="Times New Roman" w:cs="Times New Roman"/>
          <w:lang w:val="hr-HR"/>
        </w:rPr>
        <w:t xml:space="preserve">) isključivo u svrhu odobravanja potpore. </w:t>
      </w:r>
    </w:p>
    <w:p w:rsidR="00AE42F2" w:rsidRDefault="00AE42F2" w:rsidP="00895762">
      <w:pPr>
        <w:pStyle w:val="Default"/>
        <w:jc w:val="both"/>
        <w:rPr>
          <w:rFonts w:ascii="Times New Roman" w:hAnsi="Times New Roman" w:cs="Times New Roman"/>
          <w:lang w:val="hr-HR"/>
        </w:rPr>
      </w:pPr>
    </w:p>
    <w:p w:rsidR="00164868" w:rsidRDefault="00164868" w:rsidP="00895762">
      <w:pPr>
        <w:pStyle w:val="Default"/>
        <w:jc w:val="both"/>
        <w:rPr>
          <w:rFonts w:ascii="Times New Roman" w:hAnsi="Times New Roman" w:cs="Times New Roman"/>
          <w:lang w:val="hr-HR"/>
        </w:rPr>
      </w:pPr>
      <w:r w:rsidRPr="00164868">
        <w:rPr>
          <w:rFonts w:ascii="Times New Roman" w:hAnsi="Times New Roman" w:cs="Times New Roman"/>
          <w:lang w:val="hr-HR"/>
        </w:rPr>
        <w:t>Sukladno članku 14.</w:t>
      </w:r>
      <w:r w:rsidR="00AE42F2">
        <w:rPr>
          <w:rFonts w:ascii="Times New Roman" w:hAnsi="Times New Roman" w:cs="Times New Roman"/>
          <w:lang w:val="hr-HR"/>
        </w:rPr>
        <w:t xml:space="preserve"> Zakona o državnim potporama („Narodne novine“ br.</w:t>
      </w:r>
      <w:r w:rsidR="00687E60">
        <w:rPr>
          <w:rFonts w:ascii="Times New Roman" w:hAnsi="Times New Roman" w:cs="Times New Roman"/>
          <w:lang w:val="hr-HR"/>
        </w:rPr>
        <w:t xml:space="preserve"> 47/14</w:t>
      </w:r>
      <w:r w:rsidR="001C17EF">
        <w:rPr>
          <w:rFonts w:ascii="Times New Roman" w:hAnsi="Times New Roman" w:cs="Times New Roman"/>
          <w:lang w:val="hr-HR"/>
        </w:rPr>
        <w:t>.</w:t>
      </w:r>
      <w:r w:rsidR="00687E60">
        <w:rPr>
          <w:rFonts w:ascii="Times New Roman" w:hAnsi="Times New Roman" w:cs="Times New Roman"/>
          <w:lang w:val="hr-HR"/>
        </w:rPr>
        <w:t xml:space="preserve"> i</w:t>
      </w:r>
      <w:r w:rsidRPr="00164868">
        <w:rPr>
          <w:rFonts w:ascii="Times New Roman" w:hAnsi="Times New Roman" w:cs="Times New Roman"/>
          <w:lang w:val="hr-HR"/>
        </w:rPr>
        <w:t xml:space="preserve"> 69</w:t>
      </w:r>
      <w:r w:rsidR="00AE42F2">
        <w:rPr>
          <w:rFonts w:ascii="Times New Roman" w:hAnsi="Times New Roman" w:cs="Times New Roman"/>
          <w:lang w:val="hr-HR"/>
        </w:rPr>
        <w:t>/17</w:t>
      </w:r>
      <w:r w:rsidR="001C17EF">
        <w:rPr>
          <w:rFonts w:ascii="Times New Roman" w:hAnsi="Times New Roman" w:cs="Times New Roman"/>
          <w:lang w:val="hr-HR"/>
        </w:rPr>
        <w:t>.</w:t>
      </w:r>
      <w:r w:rsidR="00AE42F2">
        <w:rPr>
          <w:rFonts w:ascii="Times New Roman" w:hAnsi="Times New Roman" w:cs="Times New Roman"/>
          <w:lang w:val="hr-HR"/>
        </w:rPr>
        <w:t xml:space="preserve">) Ministarstvo </w:t>
      </w:r>
      <w:r w:rsidRPr="00164868">
        <w:rPr>
          <w:rFonts w:ascii="Times New Roman" w:hAnsi="Times New Roman" w:cs="Times New Roman"/>
          <w:lang w:val="hr-HR"/>
        </w:rPr>
        <w:t>će voditi evidenciju potpora male vrijednosti dodijeljenih temeljem ovog</w:t>
      </w:r>
      <w:r w:rsidR="001C17EF">
        <w:rPr>
          <w:rFonts w:ascii="Times New Roman" w:hAnsi="Times New Roman" w:cs="Times New Roman"/>
          <w:lang w:val="hr-HR"/>
        </w:rPr>
        <w:t>a</w:t>
      </w:r>
      <w:r w:rsidRPr="00164868">
        <w:rPr>
          <w:rFonts w:ascii="Times New Roman" w:hAnsi="Times New Roman" w:cs="Times New Roman"/>
          <w:lang w:val="hr-HR"/>
        </w:rPr>
        <w:t xml:space="preserve"> Programa te dostaviti Ministarstvu financija podatke o dodijeljenim potporama male vrijednosti i unijeti ih u </w:t>
      </w:r>
      <w:r w:rsidR="005A0463" w:rsidRPr="005A0463">
        <w:rPr>
          <w:rFonts w:ascii="Times New Roman" w:hAnsi="Times New Roman" w:cs="Times New Roman"/>
          <w:lang w:val="hr-HR"/>
        </w:rPr>
        <w:t xml:space="preserve">registar državnih potpora i potpora male vrijednosti </w:t>
      </w:r>
      <w:r w:rsidRPr="00164868">
        <w:rPr>
          <w:rFonts w:ascii="Times New Roman" w:hAnsi="Times New Roman" w:cs="Times New Roman"/>
          <w:lang w:val="hr-HR"/>
        </w:rPr>
        <w:t>Ministarstva financija.</w:t>
      </w:r>
    </w:p>
    <w:p w:rsidR="00164868" w:rsidRPr="003F4B26" w:rsidRDefault="00164868" w:rsidP="00895762">
      <w:pPr>
        <w:pStyle w:val="Default"/>
        <w:jc w:val="both"/>
        <w:rPr>
          <w:rFonts w:ascii="Times New Roman" w:hAnsi="Times New Roman" w:cs="Times New Roman"/>
          <w:lang w:val="hr-HR"/>
        </w:rPr>
      </w:pPr>
    </w:p>
    <w:p w:rsidR="00EE586B" w:rsidRPr="003F4B26" w:rsidRDefault="00EE586B" w:rsidP="000E46EA">
      <w:pPr>
        <w:rPr>
          <w:sz w:val="22"/>
          <w:szCs w:val="22"/>
        </w:rPr>
      </w:pPr>
    </w:p>
    <w:sectPr w:rsidR="00EE586B" w:rsidRPr="003F4B26" w:rsidSect="002170AD">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B4" w:rsidRDefault="003C17B4" w:rsidP="00EC67F3">
      <w:pPr>
        <w:spacing w:after="0" w:line="240" w:lineRule="auto"/>
      </w:pPr>
      <w:r>
        <w:separator/>
      </w:r>
    </w:p>
  </w:endnote>
  <w:endnote w:type="continuationSeparator" w:id="0">
    <w:p w:rsidR="003C17B4" w:rsidRDefault="003C17B4" w:rsidP="00EC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B4" w:rsidRDefault="003C17B4" w:rsidP="00EC67F3">
      <w:pPr>
        <w:spacing w:after="0" w:line="240" w:lineRule="auto"/>
      </w:pPr>
      <w:r>
        <w:separator/>
      </w:r>
    </w:p>
  </w:footnote>
  <w:footnote w:type="continuationSeparator" w:id="0">
    <w:p w:rsidR="003C17B4" w:rsidRDefault="003C17B4" w:rsidP="00EC67F3">
      <w:pPr>
        <w:spacing w:after="0" w:line="240" w:lineRule="auto"/>
      </w:pPr>
      <w:r>
        <w:continuationSeparator/>
      </w:r>
    </w:p>
  </w:footnote>
  <w:footnote w:id="1">
    <w:p w:rsidR="00687A85" w:rsidRPr="00687A85" w:rsidRDefault="00687A85">
      <w:pPr>
        <w:pStyle w:val="FootnoteText"/>
        <w:rPr>
          <w:lang w:val="en-US"/>
        </w:rPr>
      </w:pPr>
      <w:r>
        <w:rPr>
          <w:rStyle w:val="FootnoteReference"/>
        </w:rPr>
        <w:footnoteRef/>
      </w:r>
      <w:r>
        <w:t xml:space="preserve"> </w:t>
      </w:r>
      <w:r w:rsidRPr="00687A85">
        <w:t xml:space="preserve"> </w:t>
      </w:r>
      <w:hyperlink r:id="rId1" w:history="1">
        <w:r w:rsidRPr="00687A85">
          <w:t>https://eur-lex.europa.eu/LexUriServ/LexUriServ.do?uri=OJ:L:2013:352:0001:0008:HR:PDF</w:t>
        </w:r>
      </w:hyperlink>
    </w:p>
  </w:footnote>
  <w:footnote w:id="2">
    <w:p w:rsidR="00F229E5" w:rsidRPr="00F229E5" w:rsidRDefault="00F229E5">
      <w:pPr>
        <w:pStyle w:val="FootnoteText"/>
        <w:rPr>
          <w:lang w:val="en-US"/>
        </w:rPr>
      </w:pPr>
      <w:r>
        <w:rPr>
          <w:rStyle w:val="FootnoteReference"/>
        </w:rPr>
        <w:footnoteRef/>
      </w:r>
      <w:r>
        <w:t xml:space="preserve"> </w:t>
      </w:r>
      <w:r w:rsidRPr="003A5B1C">
        <w:t>https://eur-lex.europa.eu/legal-content/HR/TXT/PDF/?uri=CELEX:32014R0651&amp;from=HR</w:t>
      </w:r>
    </w:p>
  </w:footnote>
  <w:footnote w:id="3">
    <w:p w:rsidR="000840CD" w:rsidRPr="000840CD" w:rsidRDefault="000840CD">
      <w:pPr>
        <w:pStyle w:val="FootnoteText"/>
        <w:rPr>
          <w:lang w:val="en-US"/>
        </w:rPr>
      </w:pPr>
      <w:r>
        <w:rPr>
          <w:rStyle w:val="FootnoteReference"/>
        </w:rPr>
        <w:footnoteRef/>
      </w:r>
      <w:r>
        <w:t xml:space="preserve"> </w:t>
      </w:r>
      <w:r w:rsidRPr="000840CD">
        <w:t>https://eur-lex.europa.eu/resource.html?uri=cellar:9e8d52e1-2c70-11e6-b49701aa75ed71a1.0011.01/DOC_5&amp;format=PDF</w:t>
      </w:r>
    </w:p>
  </w:footnote>
  <w:footnote w:id="4">
    <w:p w:rsidR="003A5B1C" w:rsidRPr="003A5B1C" w:rsidRDefault="003A5B1C" w:rsidP="003A5B1C">
      <w:pPr>
        <w:pStyle w:val="FootnoteText"/>
      </w:pPr>
      <w:r w:rsidRPr="003A5B1C">
        <w:rPr>
          <w:rStyle w:val="FootnoteReference"/>
          <w:rFonts w:ascii="Times New Roman" w:hAnsi="Times New Roman"/>
        </w:rPr>
        <w:footnoteRef/>
      </w:r>
      <w:r w:rsidRPr="003A5B1C">
        <w:t xml:space="preserve"> https://eur-lex.europa.eu/eli/reco/2003/361/oj</w:t>
      </w:r>
    </w:p>
    <w:p w:rsidR="003A5B1C" w:rsidRPr="003A5B1C" w:rsidRDefault="003A5B1C" w:rsidP="003A5B1C">
      <w:pPr>
        <w:pStyle w:val="FootnoteText"/>
      </w:pPr>
      <w:r w:rsidRPr="003A5B1C">
        <w:t>https://ec.europa.eu/docsroom/documents/15582/attachments/1/translations/hr/renditions/pdf&amp;usg=AOvVaw0eAyH61OpcC50rvW3s79kz</w:t>
      </w:r>
    </w:p>
    <w:p w:rsidR="003A5B1C" w:rsidRPr="003A5B1C" w:rsidRDefault="003A5B1C" w:rsidP="003A5B1C">
      <w:pPr>
        <w:pStyle w:val="FootnoteText"/>
        <w:rPr>
          <w:lang w:val="hr-HR"/>
        </w:rPr>
      </w:pPr>
      <w:r w:rsidRPr="003A5B1C">
        <w:t>https://ec.europa.eu/regional_policy/sources/conferences/state-aid/sme/smedefinitionguide_en.pdf</w:t>
      </w:r>
    </w:p>
  </w:footnote>
  <w:footnote w:id="5">
    <w:p w:rsidR="00071013" w:rsidRPr="00B76AFE" w:rsidRDefault="00071013" w:rsidP="003069D6">
      <w:pPr>
        <w:pStyle w:val="FootnoteText"/>
        <w:ind w:left="142" w:hanging="142"/>
        <w:jc w:val="both"/>
        <w:rPr>
          <w:lang w:val="hr-HR"/>
        </w:rPr>
      </w:pPr>
      <w:r>
        <w:rPr>
          <w:rStyle w:val="FootnoteReference"/>
        </w:rPr>
        <w:footnoteRef/>
      </w:r>
      <w:r>
        <w:t xml:space="preserve"> </w:t>
      </w:r>
      <w:r w:rsidRPr="00800304">
        <w:rPr>
          <w:lang w:val="hr-HR"/>
        </w:rPr>
        <w:t>Sukladno odredbama Zakona o sigurnosti prometa na cestama („Narodne novine“, br. 67/08</w:t>
      </w:r>
      <w:r w:rsidR="004E49E4">
        <w:rPr>
          <w:lang w:val="hr-HR"/>
        </w:rPr>
        <w:t>.</w:t>
      </w:r>
      <w:r w:rsidRPr="00800304">
        <w:rPr>
          <w:lang w:val="hr-HR"/>
        </w:rPr>
        <w:t>, 48/10</w:t>
      </w:r>
      <w:r w:rsidR="004E49E4">
        <w:rPr>
          <w:lang w:val="hr-HR"/>
        </w:rPr>
        <w:t>.</w:t>
      </w:r>
      <w:r w:rsidRPr="00800304">
        <w:rPr>
          <w:lang w:val="hr-HR"/>
        </w:rPr>
        <w:t>, 74/11</w:t>
      </w:r>
      <w:r w:rsidR="004E49E4">
        <w:rPr>
          <w:lang w:val="hr-HR"/>
        </w:rPr>
        <w:t>.</w:t>
      </w:r>
      <w:r w:rsidRPr="00800304">
        <w:rPr>
          <w:lang w:val="hr-HR"/>
        </w:rPr>
        <w:t>, 80/13</w:t>
      </w:r>
      <w:r w:rsidR="004E49E4">
        <w:rPr>
          <w:lang w:val="hr-HR"/>
        </w:rPr>
        <w:t>.</w:t>
      </w:r>
      <w:r w:rsidRPr="00800304">
        <w:rPr>
          <w:lang w:val="hr-HR"/>
        </w:rPr>
        <w:t>, 158/13</w:t>
      </w:r>
      <w:r w:rsidR="004E49E4">
        <w:rPr>
          <w:lang w:val="hr-HR"/>
        </w:rPr>
        <w:t>.</w:t>
      </w:r>
      <w:r w:rsidRPr="00800304">
        <w:rPr>
          <w:lang w:val="hr-HR"/>
        </w:rPr>
        <w:t>, 92/14</w:t>
      </w:r>
      <w:r w:rsidR="004E49E4">
        <w:rPr>
          <w:lang w:val="hr-HR"/>
        </w:rPr>
        <w:t>.</w:t>
      </w:r>
      <w:r w:rsidRPr="00800304">
        <w:rPr>
          <w:lang w:val="hr-HR"/>
        </w:rPr>
        <w:t>, 64/15</w:t>
      </w:r>
      <w:r w:rsidR="004E49E4">
        <w:rPr>
          <w:lang w:val="hr-HR"/>
        </w:rPr>
        <w:t>.</w:t>
      </w:r>
      <w:r w:rsidRPr="00800304">
        <w:rPr>
          <w:lang w:val="hr-HR"/>
        </w:rPr>
        <w:t xml:space="preserve"> i 108/17</w:t>
      </w:r>
      <w:r w:rsidR="004E49E4">
        <w:rPr>
          <w:lang w:val="hr-HR"/>
        </w:rPr>
        <w:t>.</w:t>
      </w:r>
      <w:r w:rsidRPr="00800304">
        <w:rPr>
          <w:lang w:val="hr-HR"/>
        </w:rPr>
        <w:t xml:space="preserve">), “radni stroj” je motorno vozilo kojem je osnovna namjena obavljanje određenih radova vlastitim uređajima i opremom (kombajn, valjak, </w:t>
      </w:r>
      <w:proofErr w:type="spellStart"/>
      <w:r w:rsidRPr="00800304">
        <w:rPr>
          <w:lang w:val="hr-HR"/>
        </w:rPr>
        <w:t>grejder</w:t>
      </w:r>
      <w:proofErr w:type="spellEnd"/>
      <w:r w:rsidRPr="00800304">
        <w:rPr>
          <w:lang w:val="hr-HR"/>
        </w:rPr>
        <w:t xml:space="preserve">, kosilica, buldožer, </w:t>
      </w:r>
      <w:proofErr w:type="spellStart"/>
      <w:r w:rsidRPr="00800304">
        <w:rPr>
          <w:lang w:val="hr-HR"/>
        </w:rPr>
        <w:t>motokultivator</w:t>
      </w:r>
      <w:proofErr w:type="spellEnd"/>
      <w:r w:rsidRPr="00800304">
        <w:rPr>
          <w:lang w:val="hr-HR"/>
        </w:rPr>
        <w:t xml:space="preserve">, </w:t>
      </w:r>
      <w:proofErr w:type="spellStart"/>
      <w:r w:rsidRPr="00800304">
        <w:rPr>
          <w:lang w:val="hr-HR"/>
        </w:rPr>
        <w:t>motokultivator</w:t>
      </w:r>
      <w:proofErr w:type="spellEnd"/>
      <w:r w:rsidRPr="00800304">
        <w:rPr>
          <w:lang w:val="hr-HR"/>
        </w:rPr>
        <w:t xml:space="preserve"> s priključkom, viljuškar, kopač rovova i sl.).</w:t>
      </w:r>
    </w:p>
  </w:footnote>
  <w:footnote w:id="6">
    <w:p w:rsidR="008D360F" w:rsidRPr="00B76AFE" w:rsidRDefault="008D360F" w:rsidP="004E49E4">
      <w:pPr>
        <w:pStyle w:val="FootnoteText"/>
        <w:ind w:left="142" w:hanging="142"/>
        <w:jc w:val="both"/>
        <w:rPr>
          <w:lang w:val="hr-HR"/>
        </w:rPr>
      </w:pPr>
      <w:r>
        <w:rPr>
          <w:rStyle w:val="FootnoteReference"/>
        </w:rPr>
        <w:footnoteRef/>
      </w:r>
      <w:r>
        <w:t xml:space="preserve"> </w:t>
      </w:r>
      <w:r w:rsidRPr="00800304">
        <w:rPr>
          <w:lang w:val="hr-HR"/>
        </w:rPr>
        <w:t>Sukladno odredbama Zakona o sigurnosti prometa na cestama („Narodne novine“, br. 67/08</w:t>
      </w:r>
      <w:r w:rsidR="004E49E4">
        <w:rPr>
          <w:lang w:val="hr-HR"/>
        </w:rPr>
        <w:t>.</w:t>
      </w:r>
      <w:r w:rsidRPr="00800304">
        <w:rPr>
          <w:lang w:val="hr-HR"/>
        </w:rPr>
        <w:t>, 48/10</w:t>
      </w:r>
      <w:r w:rsidR="004E49E4">
        <w:rPr>
          <w:lang w:val="hr-HR"/>
        </w:rPr>
        <w:t>.</w:t>
      </w:r>
      <w:r w:rsidRPr="00800304">
        <w:rPr>
          <w:lang w:val="hr-HR"/>
        </w:rPr>
        <w:t>, 74/11</w:t>
      </w:r>
      <w:r w:rsidR="004E49E4">
        <w:rPr>
          <w:lang w:val="hr-HR"/>
        </w:rPr>
        <w:t>.</w:t>
      </w:r>
      <w:r w:rsidRPr="00800304">
        <w:rPr>
          <w:lang w:val="hr-HR"/>
        </w:rPr>
        <w:t>, 80/13</w:t>
      </w:r>
      <w:r w:rsidR="004E49E4">
        <w:rPr>
          <w:lang w:val="hr-HR"/>
        </w:rPr>
        <w:t>.</w:t>
      </w:r>
      <w:r w:rsidRPr="00800304">
        <w:rPr>
          <w:lang w:val="hr-HR"/>
        </w:rPr>
        <w:t>, 158/13</w:t>
      </w:r>
      <w:r w:rsidR="004E49E4">
        <w:rPr>
          <w:lang w:val="hr-HR"/>
        </w:rPr>
        <w:t>.</w:t>
      </w:r>
      <w:r w:rsidRPr="00800304">
        <w:rPr>
          <w:lang w:val="hr-HR"/>
        </w:rPr>
        <w:t>, 92/14</w:t>
      </w:r>
      <w:r w:rsidR="004E49E4">
        <w:rPr>
          <w:lang w:val="hr-HR"/>
        </w:rPr>
        <w:t>.</w:t>
      </w:r>
      <w:r w:rsidRPr="00800304">
        <w:rPr>
          <w:lang w:val="hr-HR"/>
        </w:rPr>
        <w:t>, 64/15</w:t>
      </w:r>
      <w:r w:rsidR="004E49E4">
        <w:rPr>
          <w:lang w:val="hr-HR"/>
        </w:rPr>
        <w:t>.</w:t>
      </w:r>
      <w:r w:rsidR="00800304">
        <w:rPr>
          <w:lang w:val="hr-HR"/>
        </w:rPr>
        <w:t xml:space="preserve">, </w:t>
      </w:r>
      <w:r w:rsidRPr="00800304">
        <w:rPr>
          <w:lang w:val="hr-HR"/>
        </w:rPr>
        <w:t>108/17</w:t>
      </w:r>
      <w:r w:rsidR="004E49E4">
        <w:rPr>
          <w:lang w:val="hr-HR"/>
        </w:rPr>
        <w:t>.,</w:t>
      </w:r>
      <w:r w:rsidR="00800304">
        <w:rPr>
          <w:lang w:val="hr-HR"/>
        </w:rPr>
        <w:t xml:space="preserve"> </w:t>
      </w:r>
      <w:hyperlink r:id="rId2" w:tgtFrame="_blank" w:history="1">
        <w:r w:rsidR="00800304" w:rsidRPr="00800304">
          <w:rPr>
            <w:lang w:val="hr-HR"/>
          </w:rPr>
          <w:t>70/19</w:t>
        </w:r>
      </w:hyperlink>
      <w:r w:rsidR="004E49E4">
        <w:rPr>
          <w:lang w:val="hr-HR"/>
        </w:rPr>
        <w:t>. i</w:t>
      </w:r>
      <w:r w:rsidR="00800304" w:rsidRPr="00800304">
        <w:rPr>
          <w:lang w:val="hr-HR"/>
        </w:rPr>
        <w:t xml:space="preserve"> </w:t>
      </w:r>
      <w:hyperlink r:id="rId3" w:tgtFrame="_blank" w:history="1">
        <w:r w:rsidR="00800304" w:rsidRPr="00800304">
          <w:rPr>
            <w:lang w:val="hr-HR"/>
          </w:rPr>
          <w:t>42/20</w:t>
        </w:r>
      </w:hyperlink>
      <w:r w:rsidR="004E49E4">
        <w:rPr>
          <w:lang w:val="hr-HR"/>
        </w:rPr>
        <w:t>.</w:t>
      </w:r>
      <w:r w:rsidRPr="00800304">
        <w:rPr>
          <w:lang w:val="hr-HR"/>
        </w:rPr>
        <w:t>), “radno vozilo” je bilo koji teretni automobil ili priključno vozilo na koje su ugrađeni uređaji ili oprema za obavljanje radova na način da se na vozilu ne može prevoziti nikakav drugi teret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5331"/>
      <w:docPartObj>
        <w:docPartGallery w:val="Page Numbers (Top of Page)"/>
        <w:docPartUnique/>
      </w:docPartObj>
    </w:sdtPr>
    <w:sdtEndPr>
      <w:rPr>
        <w:rFonts w:ascii="Times New Roman" w:hAnsi="Times New Roman" w:cs="Times New Roman"/>
        <w:sz w:val="24"/>
        <w:szCs w:val="24"/>
      </w:rPr>
    </w:sdtEndPr>
    <w:sdtContent>
      <w:p w:rsidR="002170AD" w:rsidRPr="002170AD" w:rsidRDefault="002170AD">
        <w:pPr>
          <w:pStyle w:val="Header"/>
          <w:jc w:val="center"/>
          <w:rPr>
            <w:rFonts w:ascii="Times New Roman" w:hAnsi="Times New Roman" w:cs="Times New Roman"/>
            <w:sz w:val="24"/>
            <w:szCs w:val="24"/>
          </w:rPr>
        </w:pPr>
        <w:r w:rsidRPr="002170AD">
          <w:rPr>
            <w:rFonts w:ascii="Times New Roman" w:hAnsi="Times New Roman" w:cs="Times New Roman"/>
            <w:sz w:val="24"/>
            <w:szCs w:val="24"/>
          </w:rPr>
          <w:fldChar w:fldCharType="begin"/>
        </w:r>
        <w:r w:rsidRPr="002170AD">
          <w:rPr>
            <w:rFonts w:ascii="Times New Roman" w:hAnsi="Times New Roman" w:cs="Times New Roman"/>
            <w:sz w:val="24"/>
            <w:szCs w:val="24"/>
          </w:rPr>
          <w:instrText>PAGE   \* MERGEFORMAT</w:instrText>
        </w:r>
        <w:r w:rsidRPr="002170AD">
          <w:rPr>
            <w:rFonts w:ascii="Times New Roman" w:hAnsi="Times New Roman" w:cs="Times New Roman"/>
            <w:sz w:val="24"/>
            <w:szCs w:val="24"/>
          </w:rPr>
          <w:fldChar w:fldCharType="separate"/>
        </w:r>
        <w:r w:rsidR="0003573D" w:rsidRPr="0003573D">
          <w:rPr>
            <w:rFonts w:ascii="Times New Roman" w:hAnsi="Times New Roman" w:cs="Times New Roman"/>
            <w:noProof/>
            <w:sz w:val="24"/>
            <w:szCs w:val="24"/>
            <w:lang w:val="hr-HR"/>
          </w:rPr>
          <w:t>11</w:t>
        </w:r>
        <w:r w:rsidRPr="002170AD">
          <w:rPr>
            <w:rFonts w:ascii="Times New Roman" w:hAnsi="Times New Roman" w:cs="Times New Roman"/>
            <w:sz w:val="24"/>
            <w:szCs w:val="24"/>
          </w:rPr>
          <w:fldChar w:fldCharType="end"/>
        </w:r>
      </w:p>
    </w:sdtContent>
  </w:sdt>
  <w:p w:rsidR="002170AD" w:rsidRDefault="00217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AD" w:rsidRDefault="002170AD">
    <w:pPr>
      <w:pStyle w:val="Header"/>
      <w:jc w:val="center"/>
    </w:pPr>
  </w:p>
  <w:p w:rsidR="006637E0" w:rsidRDefault="00663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52D"/>
    <w:multiLevelType w:val="hybridMultilevel"/>
    <w:tmpl w:val="C4F69F4E"/>
    <w:lvl w:ilvl="0" w:tplc="6884E8E4">
      <w:start w:val="1"/>
      <w:numFmt w:val="decimal"/>
      <w:lvlText w:val="%1)"/>
      <w:lvlJc w:val="left"/>
      <w:pPr>
        <w:tabs>
          <w:tab w:val="num" w:pos="357"/>
        </w:tabs>
        <w:ind w:left="357" w:hanging="357"/>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2C565ED"/>
    <w:multiLevelType w:val="hybridMultilevel"/>
    <w:tmpl w:val="F62CBFBA"/>
    <w:lvl w:ilvl="0" w:tplc="04150017">
      <w:start w:val="1"/>
      <w:numFmt w:val="lowerLetter"/>
      <w:lvlText w:val="%1)"/>
      <w:lvlJc w:val="left"/>
      <w:pPr>
        <w:ind w:left="720" w:hanging="360"/>
      </w:pPr>
      <w:rPr>
        <w:rFonts w:hint="default"/>
        <w:b w:val="0"/>
      </w:rPr>
    </w:lvl>
    <w:lvl w:ilvl="1" w:tplc="4F3C2F9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C85D70"/>
    <w:multiLevelType w:val="hybridMultilevel"/>
    <w:tmpl w:val="A12E1160"/>
    <w:lvl w:ilvl="0" w:tplc="E09681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F1C30"/>
    <w:multiLevelType w:val="hybridMultilevel"/>
    <w:tmpl w:val="ED58F50E"/>
    <w:lvl w:ilvl="0" w:tplc="4B8E0F9A">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 w15:restartNumberingAfterBreak="0">
    <w:nsid w:val="2DF37F57"/>
    <w:multiLevelType w:val="hybridMultilevel"/>
    <w:tmpl w:val="E14CB77C"/>
    <w:lvl w:ilvl="0" w:tplc="0409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842779"/>
    <w:multiLevelType w:val="hybridMultilevel"/>
    <w:tmpl w:val="32E02DDA"/>
    <w:lvl w:ilvl="0" w:tplc="C372813E">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C00B24"/>
    <w:multiLevelType w:val="hybridMultilevel"/>
    <w:tmpl w:val="42B0C5D6"/>
    <w:lvl w:ilvl="0" w:tplc="A6A6A2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0DA2212"/>
    <w:multiLevelType w:val="hybridMultilevel"/>
    <w:tmpl w:val="D6064B3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2C547A7"/>
    <w:multiLevelType w:val="hybridMultilevel"/>
    <w:tmpl w:val="E14CB77C"/>
    <w:lvl w:ilvl="0" w:tplc="0409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9D65DD"/>
    <w:multiLevelType w:val="hybridMultilevel"/>
    <w:tmpl w:val="B23644EC"/>
    <w:lvl w:ilvl="0" w:tplc="041A0011">
      <w:start w:val="1"/>
      <w:numFmt w:val="decimal"/>
      <w:lvlText w:val="%1)"/>
      <w:lvlJc w:val="left"/>
      <w:pPr>
        <w:ind w:left="928" w:hanging="360"/>
      </w:pPr>
      <w:rPr>
        <w:b w:val="0"/>
      </w:rPr>
    </w:lvl>
    <w:lvl w:ilvl="1" w:tplc="4F3C2F9A">
      <w:start w:val="1"/>
      <w:numFmt w:val="lowerLetter"/>
      <w:lvlText w:val="(%2)"/>
      <w:lvlJc w:val="left"/>
      <w:pPr>
        <w:ind w:left="1648" w:hanging="360"/>
      </w:pPr>
      <w:rPr>
        <w:rFonts w:hint="default"/>
      </w:r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0" w15:restartNumberingAfterBreak="0">
    <w:nsid w:val="49F61397"/>
    <w:multiLevelType w:val="hybridMultilevel"/>
    <w:tmpl w:val="96188644"/>
    <w:lvl w:ilvl="0" w:tplc="41ACC8A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86743D"/>
    <w:multiLevelType w:val="hybridMultilevel"/>
    <w:tmpl w:val="CCB02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E40CF"/>
    <w:multiLevelType w:val="hybridMultilevel"/>
    <w:tmpl w:val="F1A284C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8A3691"/>
    <w:multiLevelType w:val="hybridMultilevel"/>
    <w:tmpl w:val="CB1EE1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701580"/>
    <w:multiLevelType w:val="hybridMultilevel"/>
    <w:tmpl w:val="B320580C"/>
    <w:lvl w:ilvl="0" w:tplc="A1CEDA8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5EB1018E"/>
    <w:multiLevelType w:val="hybridMultilevel"/>
    <w:tmpl w:val="99B6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11F8E"/>
    <w:multiLevelType w:val="hybridMultilevel"/>
    <w:tmpl w:val="67360D54"/>
    <w:lvl w:ilvl="0" w:tplc="42EA955A">
      <w:start w:val="1"/>
      <w:numFmt w:val="lowerRoman"/>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73536E4"/>
    <w:multiLevelType w:val="hybridMultilevel"/>
    <w:tmpl w:val="219A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D2D78"/>
    <w:multiLevelType w:val="hybridMultilevel"/>
    <w:tmpl w:val="99D88DAE"/>
    <w:lvl w:ilvl="0" w:tplc="B51EE48A">
      <w:start w:val="1"/>
      <w:numFmt w:val="decimal"/>
      <w:lvlText w:val="%1."/>
      <w:lvlJc w:val="left"/>
      <w:pPr>
        <w:ind w:left="450" w:hanging="360"/>
      </w:pPr>
      <w:rPr>
        <w:rFonts w:hint="default"/>
        <w:b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6D3F5FC5"/>
    <w:multiLevelType w:val="hybridMultilevel"/>
    <w:tmpl w:val="29086E48"/>
    <w:lvl w:ilvl="0" w:tplc="585054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67FE7"/>
    <w:multiLevelType w:val="hybridMultilevel"/>
    <w:tmpl w:val="15420CEC"/>
    <w:lvl w:ilvl="0" w:tplc="C0D432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7BF65501"/>
    <w:multiLevelType w:val="hybridMultilevel"/>
    <w:tmpl w:val="AA30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074012"/>
    <w:multiLevelType w:val="hybridMultilevel"/>
    <w:tmpl w:val="E97CF83E"/>
    <w:lvl w:ilvl="0" w:tplc="27B0D88C">
      <w:start w:val="1"/>
      <w:numFmt w:val="decimal"/>
      <w:lvlText w:val="%1)"/>
      <w:lvlJc w:val="left"/>
      <w:pPr>
        <w:tabs>
          <w:tab w:val="num" w:pos="357"/>
        </w:tabs>
        <w:ind w:left="357" w:hanging="357"/>
      </w:pPr>
      <w:rPr>
        <w:rFonts w:hint="default"/>
        <w:sz w:val="22"/>
        <w:szCs w:val="22"/>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7"/>
  </w:num>
  <w:num w:numId="2">
    <w:abstractNumId w:val="10"/>
  </w:num>
  <w:num w:numId="3">
    <w:abstractNumId w:val="15"/>
  </w:num>
  <w:num w:numId="4">
    <w:abstractNumId w:val="19"/>
  </w:num>
  <w:num w:numId="5">
    <w:abstractNumId w:val="8"/>
  </w:num>
  <w:num w:numId="6">
    <w:abstractNumId w:val="4"/>
  </w:num>
  <w:num w:numId="7">
    <w:abstractNumId w:val="3"/>
  </w:num>
  <w:num w:numId="8">
    <w:abstractNumId w:val="0"/>
  </w:num>
  <w:num w:numId="9">
    <w:abstractNumId w:val="22"/>
  </w:num>
  <w:num w:numId="10">
    <w:abstractNumId w:val="5"/>
  </w:num>
  <w:num w:numId="11">
    <w:abstractNumId w:val="9"/>
  </w:num>
  <w:num w:numId="12">
    <w:abstractNumId w:val="14"/>
  </w:num>
  <w:num w:numId="13">
    <w:abstractNumId w:val="1"/>
  </w:num>
  <w:num w:numId="14">
    <w:abstractNumId w:val="16"/>
  </w:num>
  <w:num w:numId="15">
    <w:abstractNumId w:val="21"/>
  </w:num>
  <w:num w:numId="16">
    <w:abstractNumId w:val="18"/>
  </w:num>
  <w:num w:numId="17">
    <w:abstractNumId w:val="7"/>
  </w:num>
  <w:num w:numId="18">
    <w:abstractNumId w:val="12"/>
  </w:num>
  <w:num w:numId="19">
    <w:abstractNumId w:val="13"/>
  </w:num>
  <w:num w:numId="20">
    <w:abstractNumId w:val="20"/>
  </w:num>
  <w:num w:numId="21">
    <w:abstractNumId w:val="6"/>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D5"/>
    <w:rsid w:val="00011607"/>
    <w:rsid w:val="000134A8"/>
    <w:rsid w:val="00026190"/>
    <w:rsid w:val="0003573D"/>
    <w:rsid w:val="00042154"/>
    <w:rsid w:val="00046AB0"/>
    <w:rsid w:val="0006391E"/>
    <w:rsid w:val="00071013"/>
    <w:rsid w:val="000840CD"/>
    <w:rsid w:val="0008555A"/>
    <w:rsid w:val="0008665F"/>
    <w:rsid w:val="00092D71"/>
    <w:rsid w:val="000B2040"/>
    <w:rsid w:val="000B38D2"/>
    <w:rsid w:val="000C315F"/>
    <w:rsid w:val="000C3F76"/>
    <w:rsid w:val="000C4E7B"/>
    <w:rsid w:val="000D1C5D"/>
    <w:rsid w:val="000E12B0"/>
    <w:rsid w:val="000E19DF"/>
    <w:rsid w:val="000E4411"/>
    <w:rsid w:val="000E46EA"/>
    <w:rsid w:val="000E5B21"/>
    <w:rsid w:val="000E5E8C"/>
    <w:rsid w:val="000E7A32"/>
    <w:rsid w:val="000F5153"/>
    <w:rsid w:val="00106600"/>
    <w:rsid w:val="00110BB2"/>
    <w:rsid w:val="00117053"/>
    <w:rsid w:val="00133B45"/>
    <w:rsid w:val="00141E55"/>
    <w:rsid w:val="001539F6"/>
    <w:rsid w:val="00156EC0"/>
    <w:rsid w:val="001621F3"/>
    <w:rsid w:val="00164868"/>
    <w:rsid w:val="001734D0"/>
    <w:rsid w:val="001838F8"/>
    <w:rsid w:val="001939CE"/>
    <w:rsid w:val="001949A7"/>
    <w:rsid w:val="00195E10"/>
    <w:rsid w:val="001A3DD0"/>
    <w:rsid w:val="001B6CA3"/>
    <w:rsid w:val="001C0301"/>
    <w:rsid w:val="001C0670"/>
    <w:rsid w:val="001C17EF"/>
    <w:rsid w:val="001C49A8"/>
    <w:rsid w:val="001C602A"/>
    <w:rsid w:val="001C7BA0"/>
    <w:rsid w:val="001D154A"/>
    <w:rsid w:val="001E2693"/>
    <w:rsid w:val="001E3ACF"/>
    <w:rsid w:val="002144BB"/>
    <w:rsid w:val="002160C9"/>
    <w:rsid w:val="002170AD"/>
    <w:rsid w:val="00223C75"/>
    <w:rsid w:val="00224084"/>
    <w:rsid w:val="00232EC5"/>
    <w:rsid w:val="0024021F"/>
    <w:rsid w:val="002574AC"/>
    <w:rsid w:val="0028034A"/>
    <w:rsid w:val="00283F22"/>
    <w:rsid w:val="00296F73"/>
    <w:rsid w:val="002A2023"/>
    <w:rsid w:val="002A2E52"/>
    <w:rsid w:val="002B6631"/>
    <w:rsid w:val="002C5B4C"/>
    <w:rsid w:val="002D73FE"/>
    <w:rsid w:val="002E48D5"/>
    <w:rsid w:val="00301CDD"/>
    <w:rsid w:val="003022A5"/>
    <w:rsid w:val="003069D6"/>
    <w:rsid w:val="00334CB7"/>
    <w:rsid w:val="003624D6"/>
    <w:rsid w:val="00365BAA"/>
    <w:rsid w:val="00366350"/>
    <w:rsid w:val="00372AA6"/>
    <w:rsid w:val="00386553"/>
    <w:rsid w:val="003A5B1C"/>
    <w:rsid w:val="003C17B4"/>
    <w:rsid w:val="003D0250"/>
    <w:rsid w:val="003D1043"/>
    <w:rsid w:val="003D1D16"/>
    <w:rsid w:val="003D6E27"/>
    <w:rsid w:val="003E537A"/>
    <w:rsid w:val="003F4B26"/>
    <w:rsid w:val="00403EB5"/>
    <w:rsid w:val="00413D1A"/>
    <w:rsid w:val="004219EF"/>
    <w:rsid w:val="00421BAA"/>
    <w:rsid w:val="004240EC"/>
    <w:rsid w:val="00431319"/>
    <w:rsid w:val="00456A2B"/>
    <w:rsid w:val="004573F6"/>
    <w:rsid w:val="00465F4C"/>
    <w:rsid w:val="00475F0D"/>
    <w:rsid w:val="004832DF"/>
    <w:rsid w:val="00493989"/>
    <w:rsid w:val="00493A80"/>
    <w:rsid w:val="004978C5"/>
    <w:rsid w:val="004A1225"/>
    <w:rsid w:val="004B4F5E"/>
    <w:rsid w:val="004C04CB"/>
    <w:rsid w:val="004D3BB3"/>
    <w:rsid w:val="004E373E"/>
    <w:rsid w:val="004E49E4"/>
    <w:rsid w:val="004E7FDC"/>
    <w:rsid w:val="00501FC2"/>
    <w:rsid w:val="00507165"/>
    <w:rsid w:val="00530DF2"/>
    <w:rsid w:val="00561DAE"/>
    <w:rsid w:val="00570757"/>
    <w:rsid w:val="005A0463"/>
    <w:rsid w:val="005A3E95"/>
    <w:rsid w:val="005C13D1"/>
    <w:rsid w:val="005C28C3"/>
    <w:rsid w:val="005C597F"/>
    <w:rsid w:val="005D4967"/>
    <w:rsid w:val="005E0AD7"/>
    <w:rsid w:val="005E1305"/>
    <w:rsid w:val="005E1846"/>
    <w:rsid w:val="005E2641"/>
    <w:rsid w:val="005E6A8A"/>
    <w:rsid w:val="005F48F2"/>
    <w:rsid w:val="005F4D2C"/>
    <w:rsid w:val="005F6D9A"/>
    <w:rsid w:val="006035C4"/>
    <w:rsid w:val="00611771"/>
    <w:rsid w:val="006153E3"/>
    <w:rsid w:val="006253EE"/>
    <w:rsid w:val="00633B01"/>
    <w:rsid w:val="006370C0"/>
    <w:rsid w:val="00641060"/>
    <w:rsid w:val="006569FA"/>
    <w:rsid w:val="006637E0"/>
    <w:rsid w:val="00674866"/>
    <w:rsid w:val="006871D8"/>
    <w:rsid w:val="00687A85"/>
    <w:rsid w:val="00687E60"/>
    <w:rsid w:val="006962DB"/>
    <w:rsid w:val="006968E1"/>
    <w:rsid w:val="00697AA4"/>
    <w:rsid w:val="006A59DB"/>
    <w:rsid w:val="006A7B41"/>
    <w:rsid w:val="006B0465"/>
    <w:rsid w:val="006B19DD"/>
    <w:rsid w:val="006B557D"/>
    <w:rsid w:val="006C4EC5"/>
    <w:rsid w:val="006C5F52"/>
    <w:rsid w:val="006D1A6D"/>
    <w:rsid w:val="006D5C04"/>
    <w:rsid w:val="006D6CE2"/>
    <w:rsid w:val="006D6D3C"/>
    <w:rsid w:val="006F5C0E"/>
    <w:rsid w:val="006F6D7C"/>
    <w:rsid w:val="0070183E"/>
    <w:rsid w:val="00707847"/>
    <w:rsid w:val="0074098D"/>
    <w:rsid w:val="007432FD"/>
    <w:rsid w:val="00744B2F"/>
    <w:rsid w:val="00750BB9"/>
    <w:rsid w:val="007727E5"/>
    <w:rsid w:val="007739BF"/>
    <w:rsid w:val="00775E4E"/>
    <w:rsid w:val="00776B9C"/>
    <w:rsid w:val="007875CA"/>
    <w:rsid w:val="0079385C"/>
    <w:rsid w:val="007939CC"/>
    <w:rsid w:val="007A2FE4"/>
    <w:rsid w:val="007B4403"/>
    <w:rsid w:val="007B714B"/>
    <w:rsid w:val="007C45AF"/>
    <w:rsid w:val="007D178E"/>
    <w:rsid w:val="007E4868"/>
    <w:rsid w:val="00800304"/>
    <w:rsid w:val="00802F54"/>
    <w:rsid w:val="00805457"/>
    <w:rsid w:val="00816BBA"/>
    <w:rsid w:val="00816F7D"/>
    <w:rsid w:val="0081789C"/>
    <w:rsid w:val="008228EA"/>
    <w:rsid w:val="008249F7"/>
    <w:rsid w:val="00827ABC"/>
    <w:rsid w:val="008401E5"/>
    <w:rsid w:val="0085519B"/>
    <w:rsid w:val="008809D5"/>
    <w:rsid w:val="008814D2"/>
    <w:rsid w:val="00891E3D"/>
    <w:rsid w:val="00895762"/>
    <w:rsid w:val="00895E67"/>
    <w:rsid w:val="00896C43"/>
    <w:rsid w:val="008A1E1B"/>
    <w:rsid w:val="008A6F6E"/>
    <w:rsid w:val="008B03D8"/>
    <w:rsid w:val="008B1F50"/>
    <w:rsid w:val="008D360F"/>
    <w:rsid w:val="00901617"/>
    <w:rsid w:val="009108C9"/>
    <w:rsid w:val="0091158D"/>
    <w:rsid w:val="00923129"/>
    <w:rsid w:val="0092638E"/>
    <w:rsid w:val="00932B75"/>
    <w:rsid w:val="009363A5"/>
    <w:rsid w:val="009457B2"/>
    <w:rsid w:val="00950E08"/>
    <w:rsid w:val="009748DB"/>
    <w:rsid w:val="00976857"/>
    <w:rsid w:val="00992F02"/>
    <w:rsid w:val="009A0D42"/>
    <w:rsid w:val="009B0678"/>
    <w:rsid w:val="009B2703"/>
    <w:rsid w:val="009B3F5A"/>
    <w:rsid w:val="009C601C"/>
    <w:rsid w:val="009D183C"/>
    <w:rsid w:val="009D1F49"/>
    <w:rsid w:val="009D34CB"/>
    <w:rsid w:val="009D61AF"/>
    <w:rsid w:val="009F0F4F"/>
    <w:rsid w:val="009F2C37"/>
    <w:rsid w:val="00A01FD6"/>
    <w:rsid w:val="00A035EA"/>
    <w:rsid w:val="00A07707"/>
    <w:rsid w:val="00A11673"/>
    <w:rsid w:val="00A22D05"/>
    <w:rsid w:val="00A24FBA"/>
    <w:rsid w:val="00A40063"/>
    <w:rsid w:val="00A4507D"/>
    <w:rsid w:val="00A56367"/>
    <w:rsid w:val="00A756B3"/>
    <w:rsid w:val="00A7652D"/>
    <w:rsid w:val="00A7660A"/>
    <w:rsid w:val="00A77F45"/>
    <w:rsid w:val="00A8454B"/>
    <w:rsid w:val="00AB093F"/>
    <w:rsid w:val="00AB0A08"/>
    <w:rsid w:val="00AB71E5"/>
    <w:rsid w:val="00AC0CAE"/>
    <w:rsid w:val="00AD13C2"/>
    <w:rsid w:val="00AE2479"/>
    <w:rsid w:val="00AE42F2"/>
    <w:rsid w:val="00AF0B62"/>
    <w:rsid w:val="00B1327B"/>
    <w:rsid w:val="00B21C08"/>
    <w:rsid w:val="00B312F1"/>
    <w:rsid w:val="00B31E41"/>
    <w:rsid w:val="00B3234A"/>
    <w:rsid w:val="00B343A2"/>
    <w:rsid w:val="00B54425"/>
    <w:rsid w:val="00B84AA5"/>
    <w:rsid w:val="00BB07A9"/>
    <w:rsid w:val="00BB16E6"/>
    <w:rsid w:val="00BB2BC8"/>
    <w:rsid w:val="00BB6951"/>
    <w:rsid w:val="00BC3755"/>
    <w:rsid w:val="00C1267B"/>
    <w:rsid w:val="00C126EC"/>
    <w:rsid w:val="00C12A3B"/>
    <w:rsid w:val="00C1628E"/>
    <w:rsid w:val="00C31088"/>
    <w:rsid w:val="00C40E0E"/>
    <w:rsid w:val="00C672DF"/>
    <w:rsid w:val="00C765E4"/>
    <w:rsid w:val="00CA383B"/>
    <w:rsid w:val="00CB2919"/>
    <w:rsid w:val="00CC017C"/>
    <w:rsid w:val="00CC1C62"/>
    <w:rsid w:val="00CC7C2F"/>
    <w:rsid w:val="00CD3DE1"/>
    <w:rsid w:val="00CE24F5"/>
    <w:rsid w:val="00CE5E5E"/>
    <w:rsid w:val="00CE6163"/>
    <w:rsid w:val="00CF1E5D"/>
    <w:rsid w:val="00D07DF8"/>
    <w:rsid w:val="00D168CE"/>
    <w:rsid w:val="00D312C2"/>
    <w:rsid w:val="00D351BE"/>
    <w:rsid w:val="00D37793"/>
    <w:rsid w:val="00D52A32"/>
    <w:rsid w:val="00D54072"/>
    <w:rsid w:val="00D56F9C"/>
    <w:rsid w:val="00D5770A"/>
    <w:rsid w:val="00D639C9"/>
    <w:rsid w:val="00D67419"/>
    <w:rsid w:val="00D76677"/>
    <w:rsid w:val="00DA4358"/>
    <w:rsid w:val="00DA4B89"/>
    <w:rsid w:val="00DA5CC7"/>
    <w:rsid w:val="00DA5D2A"/>
    <w:rsid w:val="00DA7A71"/>
    <w:rsid w:val="00DB677E"/>
    <w:rsid w:val="00DD0AB5"/>
    <w:rsid w:val="00DD46BD"/>
    <w:rsid w:val="00DE248E"/>
    <w:rsid w:val="00DE57EA"/>
    <w:rsid w:val="00DE5CA0"/>
    <w:rsid w:val="00DF6A6D"/>
    <w:rsid w:val="00E21898"/>
    <w:rsid w:val="00E230B2"/>
    <w:rsid w:val="00E30096"/>
    <w:rsid w:val="00E33183"/>
    <w:rsid w:val="00E3729D"/>
    <w:rsid w:val="00E42684"/>
    <w:rsid w:val="00E556F9"/>
    <w:rsid w:val="00E615D8"/>
    <w:rsid w:val="00E6611C"/>
    <w:rsid w:val="00E7104C"/>
    <w:rsid w:val="00E71E44"/>
    <w:rsid w:val="00E71F91"/>
    <w:rsid w:val="00E868E1"/>
    <w:rsid w:val="00E907E4"/>
    <w:rsid w:val="00E9566A"/>
    <w:rsid w:val="00EA2040"/>
    <w:rsid w:val="00EA4D45"/>
    <w:rsid w:val="00EA6FBF"/>
    <w:rsid w:val="00EB66A6"/>
    <w:rsid w:val="00EC5331"/>
    <w:rsid w:val="00EC67F3"/>
    <w:rsid w:val="00EC6FB9"/>
    <w:rsid w:val="00ED15F6"/>
    <w:rsid w:val="00ED3F9F"/>
    <w:rsid w:val="00ED4930"/>
    <w:rsid w:val="00EE586B"/>
    <w:rsid w:val="00EE63CD"/>
    <w:rsid w:val="00EE7A77"/>
    <w:rsid w:val="00EF3E8E"/>
    <w:rsid w:val="00EF5E75"/>
    <w:rsid w:val="00F056C0"/>
    <w:rsid w:val="00F14E39"/>
    <w:rsid w:val="00F20370"/>
    <w:rsid w:val="00F229E5"/>
    <w:rsid w:val="00F27E67"/>
    <w:rsid w:val="00F30806"/>
    <w:rsid w:val="00F4472C"/>
    <w:rsid w:val="00F50151"/>
    <w:rsid w:val="00F65832"/>
    <w:rsid w:val="00F6669B"/>
    <w:rsid w:val="00F7535F"/>
    <w:rsid w:val="00F8797C"/>
    <w:rsid w:val="00F90A59"/>
    <w:rsid w:val="00FA3EEE"/>
    <w:rsid w:val="00FA7093"/>
    <w:rsid w:val="00FB1AC3"/>
    <w:rsid w:val="00FC3777"/>
    <w:rsid w:val="00FD4DF3"/>
    <w:rsid w:val="00FD56D8"/>
    <w:rsid w:val="00FE32DF"/>
    <w:rsid w:val="00FF26E4"/>
    <w:rsid w:val="00F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0C95DA-722D-44B2-A2BC-9C723E86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8E"/>
    <w:rPr>
      <w:rFonts w:ascii="Times New Roman" w:hAnsi="Times New Roman" w:cs="Times New Roman"/>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7F3"/>
    <w:pPr>
      <w:tabs>
        <w:tab w:val="center" w:pos="4680"/>
        <w:tab w:val="right" w:pos="9360"/>
      </w:tabs>
      <w:spacing w:after="0" w:line="240" w:lineRule="auto"/>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EC67F3"/>
  </w:style>
  <w:style w:type="paragraph" w:styleId="Footer">
    <w:name w:val="footer"/>
    <w:basedOn w:val="Normal"/>
    <w:link w:val="FooterChar"/>
    <w:uiPriority w:val="99"/>
    <w:unhideWhenUsed/>
    <w:rsid w:val="00EC67F3"/>
    <w:pPr>
      <w:tabs>
        <w:tab w:val="center" w:pos="4680"/>
        <w:tab w:val="right" w:pos="9360"/>
      </w:tabs>
      <w:spacing w:after="0" w:line="240" w:lineRule="auto"/>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EC67F3"/>
  </w:style>
  <w:style w:type="paragraph" w:customStyle="1" w:styleId="Default">
    <w:name w:val="Default"/>
    <w:rsid w:val="00AD13C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E586B"/>
    <w:rPr>
      <w:sz w:val="16"/>
      <w:szCs w:val="16"/>
    </w:rPr>
  </w:style>
  <w:style w:type="paragraph" w:styleId="CommentText">
    <w:name w:val="annotation text"/>
    <w:basedOn w:val="Normal"/>
    <w:link w:val="CommentTextChar"/>
    <w:uiPriority w:val="99"/>
    <w:semiHidden/>
    <w:unhideWhenUsed/>
    <w:rsid w:val="00EE586B"/>
    <w:pPr>
      <w:spacing w:line="240" w:lineRule="auto"/>
    </w:pPr>
    <w:rPr>
      <w:sz w:val="20"/>
      <w:szCs w:val="20"/>
    </w:rPr>
  </w:style>
  <w:style w:type="character" w:customStyle="1" w:styleId="CommentTextChar">
    <w:name w:val="Comment Text Char"/>
    <w:basedOn w:val="DefaultParagraphFont"/>
    <w:link w:val="CommentText"/>
    <w:uiPriority w:val="99"/>
    <w:semiHidden/>
    <w:rsid w:val="00EE586B"/>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EE586B"/>
    <w:rPr>
      <w:b/>
      <w:bCs/>
    </w:rPr>
  </w:style>
  <w:style w:type="character" w:customStyle="1" w:styleId="CommentSubjectChar">
    <w:name w:val="Comment Subject Char"/>
    <w:basedOn w:val="CommentTextChar"/>
    <w:link w:val="CommentSubject"/>
    <w:uiPriority w:val="99"/>
    <w:semiHidden/>
    <w:rsid w:val="00EE586B"/>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EE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86B"/>
    <w:rPr>
      <w:rFonts w:ascii="Segoe UI" w:hAnsi="Segoe UI" w:cs="Segoe UI"/>
      <w:sz w:val="18"/>
      <w:szCs w:val="18"/>
      <w:lang w:val="hr-HR"/>
    </w:rPr>
  </w:style>
  <w:style w:type="paragraph" w:styleId="ListParagraph">
    <w:name w:val="List Paragraph"/>
    <w:basedOn w:val="Normal"/>
    <w:link w:val="ListParagraphChar"/>
    <w:uiPriority w:val="34"/>
    <w:qFormat/>
    <w:rsid w:val="006637E0"/>
    <w:pPr>
      <w:ind w:left="720"/>
      <w:contextualSpacing/>
    </w:pPr>
  </w:style>
  <w:style w:type="character" w:styleId="Hyperlink">
    <w:name w:val="Hyperlink"/>
    <w:basedOn w:val="DefaultParagraphFont"/>
    <w:uiPriority w:val="99"/>
    <w:unhideWhenUsed/>
    <w:rsid w:val="002144BB"/>
    <w:rPr>
      <w:color w:val="0563C1" w:themeColor="hyperlink"/>
      <w:u w:val="single"/>
    </w:rPr>
  </w:style>
  <w:style w:type="paragraph" w:styleId="NormalWeb">
    <w:name w:val="Normal (Web)"/>
    <w:basedOn w:val="Normal"/>
    <w:uiPriority w:val="99"/>
    <w:semiHidden/>
    <w:unhideWhenUsed/>
    <w:rsid w:val="008B03D8"/>
    <w:pPr>
      <w:spacing w:before="100" w:beforeAutospacing="1" w:after="100" w:afterAutospacing="1" w:line="240" w:lineRule="auto"/>
    </w:pPr>
    <w:rPr>
      <w:rFonts w:eastAsia="Times New Roman"/>
      <w:lang w:val="en-US"/>
    </w:rPr>
  </w:style>
  <w:style w:type="character" w:styleId="FollowedHyperlink">
    <w:name w:val="FollowedHyperlink"/>
    <w:basedOn w:val="DefaultParagraphFont"/>
    <w:uiPriority w:val="99"/>
    <w:semiHidden/>
    <w:unhideWhenUsed/>
    <w:rsid w:val="00110BB2"/>
    <w:rPr>
      <w:color w:val="954F72" w:themeColor="followedHyperlink"/>
      <w:u w:val="single"/>
    </w:rPr>
  </w:style>
  <w:style w:type="paragraph" w:customStyle="1" w:styleId="t-9-8">
    <w:name w:val="t-9-8"/>
    <w:basedOn w:val="Normal"/>
    <w:rsid w:val="00FD4DF3"/>
    <w:pPr>
      <w:spacing w:before="100" w:beforeAutospacing="1" w:after="100" w:afterAutospacing="1" w:line="240" w:lineRule="auto"/>
    </w:pPr>
    <w:rPr>
      <w:rFonts w:eastAsia="Times New Roman"/>
      <w:lang w:val="en-US"/>
    </w:rPr>
  </w:style>
  <w:style w:type="character" w:styleId="FootnoteReference">
    <w:name w:val="footnote reference"/>
    <w:uiPriority w:val="99"/>
    <w:semiHidden/>
    <w:rsid w:val="003A5B1C"/>
    <w:rPr>
      <w:rFonts w:ascii="TimesNewRomanPS" w:hAnsi="TimesNewRomanPS"/>
      <w:position w:val="6"/>
      <w:sz w:val="16"/>
    </w:rPr>
  </w:style>
  <w:style w:type="paragraph" w:styleId="FootnoteText">
    <w:name w:val="footnote text"/>
    <w:aliases w:val=" Char,Char"/>
    <w:basedOn w:val="Normal"/>
    <w:link w:val="FootnoteTextChar"/>
    <w:uiPriority w:val="99"/>
    <w:semiHidden/>
    <w:rsid w:val="003A5B1C"/>
    <w:pPr>
      <w:spacing w:after="0" w:line="240" w:lineRule="auto"/>
    </w:pPr>
    <w:rPr>
      <w:rFonts w:eastAsia="Times New Roman"/>
      <w:sz w:val="20"/>
      <w:szCs w:val="20"/>
      <w:lang w:val="x-none" w:eastAsia="x-none"/>
    </w:rPr>
  </w:style>
  <w:style w:type="character" w:customStyle="1" w:styleId="FootnoteTextChar">
    <w:name w:val="Footnote Text Char"/>
    <w:aliases w:val=" Char Char,Char Char"/>
    <w:basedOn w:val="DefaultParagraphFont"/>
    <w:link w:val="FootnoteText"/>
    <w:uiPriority w:val="99"/>
    <w:semiHidden/>
    <w:rsid w:val="003A5B1C"/>
    <w:rPr>
      <w:rFonts w:ascii="Times New Roman" w:eastAsia="Times New Roman" w:hAnsi="Times New Roman" w:cs="Times New Roman"/>
      <w:sz w:val="20"/>
      <w:szCs w:val="20"/>
      <w:lang w:val="x-none" w:eastAsia="x-none"/>
    </w:rPr>
  </w:style>
  <w:style w:type="table" w:customStyle="1" w:styleId="LightGrid-Accent11">
    <w:name w:val="Light Grid - Accent 11"/>
    <w:basedOn w:val="TableNormal"/>
    <w:uiPriority w:val="99"/>
    <w:rsid w:val="00F50151"/>
    <w:pPr>
      <w:spacing w:after="0" w:line="240" w:lineRule="auto"/>
    </w:pPr>
    <w:rPr>
      <w:rFonts w:ascii="Calibri" w:eastAsia="Calibri" w:hAnsi="Calibri" w:cs="Times New Roman"/>
      <w:sz w:val="20"/>
      <w:szCs w:val="20"/>
      <w:lang w:val="hr-HR" w:eastAsia="hr-H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ListParagraphChar">
    <w:name w:val="List Paragraph Char"/>
    <w:link w:val="ListParagraph"/>
    <w:locked/>
    <w:rsid w:val="008D360F"/>
    <w:rPr>
      <w:rFonts w:ascii="Times New Roman" w:hAnsi="Times New Roman" w:cs="Times New Roman"/>
      <w:sz w:val="24"/>
      <w:szCs w:val="24"/>
      <w:lang w:val="hr-HR"/>
    </w:rPr>
  </w:style>
  <w:style w:type="character" w:customStyle="1" w:styleId="hps">
    <w:name w:val="hps"/>
    <w:basedOn w:val="DefaultParagraphFont"/>
    <w:rsid w:val="00B343A2"/>
  </w:style>
  <w:style w:type="paragraph" w:customStyle="1" w:styleId="ListParagraph1">
    <w:name w:val="List Paragraph1"/>
    <w:basedOn w:val="Normal"/>
    <w:qFormat/>
    <w:rsid w:val="00B343A2"/>
    <w:pPr>
      <w:spacing w:after="200" w:line="276" w:lineRule="auto"/>
      <w:ind w:left="720"/>
      <w:contextualSpacing/>
    </w:pPr>
    <w:rPr>
      <w:rFonts w:ascii="Calibri" w:eastAsia="Calibri" w:hAnsi="Calibri"/>
      <w:sz w:val="22"/>
      <w:szCs w:val="22"/>
      <w:lang w:val="en-US"/>
    </w:rPr>
  </w:style>
  <w:style w:type="paragraph" w:customStyle="1" w:styleId="ti-art">
    <w:name w:val="ti-art"/>
    <w:basedOn w:val="Normal"/>
    <w:rsid w:val="00F30806"/>
    <w:pPr>
      <w:spacing w:before="100" w:beforeAutospacing="1" w:after="100" w:afterAutospacing="1" w:line="240" w:lineRule="auto"/>
    </w:pPr>
    <w:rPr>
      <w:rFonts w:eastAsia="Times New Roman"/>
      <w:lang w:val="en-US"/>
    </w:rPr>
  </w:style>
  <w:style w:type="paragraph" w:styleId="Revision">
    <w:name w:val="Revision"/>
    <w:hidden/>
    <w:uiPriority w:val="99"/>
    <w:semiHidden/>
    <w:rsid w:val="00F30806"/>
    <w:pPr>
      <w:spacing w:after="0" w:line="240" w:lineRule="auto"/>
    </w:pPr>
    <w:rPr>
      <w:rFonts w:ascii="Times New Roman" w:hAnsi="Times New Roman" w:cs="Times New Roman"/>
      <w:sz w:val="24"/>
      <w:szCs w:val="24"/>
      <w:lang w:val="hr-HR"/>
    </w:rPr>
  </w:style>
  <w:style w:type="paragraph" w:customStyle="1" w:styleId="sti-art">
    <w:name w:val="sti-art"/>
    <w:basedOn w:val="Normal"/>
    <w:rsid w:val="00707847"/>
    <w:pPr>
      <w:spacing w:before="100" w:beforeAutospacing="1" w:after="100" w:afterAutospacing="1" w:line="240" w:lineRule="auto"/>
    </w:pPr>
    <w:rPr>
      <w:rFonts w:eastAsia="Times New Roman"/>
      <w:lang w:val="en-US"/>
    </w:rPr>
  </w:style>
  <w:style w:type="paragraph" w:customStyle="1" w:styleId="Normal1">
    <w:name w:val="Normal1"/>
    <w:basedOn w:val="Normal"/>
    <w:rsid w:val="00707847"/>
    <w:pPr>
      <w:spacing w:before="100" w:beforeAutospacing="1" w:after="100" w:afterAutospacing="1" w:line="240" w:lineRule="auto"/>
    </w:pPr>
    <w:rPr>
      <w:rFonts w:eastAsia="Times New Roman"/>
      <w:lang w:val="en-US"/>
    </w:rPr>
  </w:style>
  <w:style w:type="character" w:customStyle="1" w:styleId="italic">
    <w:name w:val="italic"/>
    <w:basedOn w:val="DefaultParagraphFont"/>
    <w:rsid w:val="0070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4970">
      <w:bodyDiv w:val="1"/>
      <w:marLeft w:val="0"/>
      <w:marRight w:val="0"/>
      <w:marTop w:val="0"/>
      <w:marBottom w:val="0"/>
      <w:divBdr>
        <w:top w:val="none" w:sz="0" w:space="0" w:color="auto"/>
        <w:left w:val="none" w:sz="0" w:space="0" w:color="auto"/>
        <w:bottom w:val="none" w:sz="0" w:space="0" w:color="auto"/>
        <w:right w:val="none" w:sz="0" w:space="0" w:color="auto"/>
      </w:divBdr>
    </w:div>
    <w:div w:id="419714733">
      <w:bodyDiv w:val="1"/>
      <w:marLeft w:val="0"/>
      <w:marRight w:val="0"/>
      <w:marTop w:val="0"/>
      <w:marBottom w:val="0"/>
      <w:divBdr>
        <w:top w:val="none" w:sz="0" w:space="0" w:color="auto"/>
        <w:left w:val="none" w:sz="0" w:space="0" w:color="auto"/>
        <w:bottom w:val="none" w:sz="0" w:space="0" w:color="auto"/>
        <w:right w:val="none" w:sz="0" w:space="0" w:color="auto"/>
      </w:divBdr>
    </w:div>
    <w:div w:id="754941026">
      <w:bodyDiv w:val="1"/>
      <w:marLeft w:val="0"/>
      <w:marRight w:val="0"/>
      <w:marTop w:val="0"/>
      <w:marBottom w:val="0"/>
      <w:divBdr>
        <w:top w:val="none" w:sz="0" w:space="0" w:color="auto"/>
        <w:left w:val="none" w:sz="0" w:space="0" w:color="auto"/>
        <w:bottom w:val="none" w:sz="0" w:space="0" w:color="auto"/>
        <w:right w:val="none" w:sz="0" w:space="0" w:color="auto"/>
      </w:divBdr>
    </w:div>
    <w:div w:id="1234437744">
      <w:bodyDiv w:val="1"/>
      <w:marLeft w:val="0"/>
      <w:marRight w:val="0"/>
      <w:marTop w:val="0"/>
      <w:marBottom w:val="0"/>
      <w:divBdr>
        <w:top w:val="none" w:sz="0" w:space="0" w:color="auto"/>
        <w:left w:val="none" w:sz="0" w:space="0" w:color="auto"/>
        <w:bottom w:val="none" w:sz="0" w:space="0" w:color="auto"/>
        <w:right w:val="none" w:sz="0" w:space="0" w:color="auto"/>
      </w:divBdr>
    </w:div>
    <w:div w:id="1375078573">
      <w:bodyDiv w:val="1"/>
      <w:marLeft w:val="0"/>
      <w:marRight w:val="0"/>
      <w:marTop w:val="0"/>
      <w:marBottom w:val="0"/>
      <w:divBdr>
        <w:top w:val="none" w:sz="0" w:space="0" w:color="auto"/>
        <w:left w:val="none" w:sz="0" w:space="0" w:color="auto"/>
        <w:bottom w:val="none" w:sz="0" w:space="0" w:color="auto"/>
        <w:right w:val="none" w:sz="0" w:space="0" w:color="auto"/>
      </w:divBdr>
    </w:div>
    <w:div w:id="1385256421">
      <w:bodyDiv w:val="1"/>
      <w:marLeft w:val="0"/>
      <w:marRight w:val="0"/>
      <w:marTop w:val="0"/>
      <w:marBottom w:val="0"/>
      <w:divBdr>
        <w:top w:val="none" w:sz="0" w:space="0" w:color="auto"/>
        <w:left w:val="none" w:sz="0" w:space="0" w:color="auto"/>
        <w:bottom w:val="none" w:sz="0" w:space="0" w:color="auto"/>
        <w:right w:val="none" w:sz="0" w:space="0" w:color="auto"/>
      </w:divBdr>
    </w:div>
    <w:div w:id="1785617768">
      <w:bodyDiv w:val="1"/>
      <w:marLeft w:val="0"/>
      <w:marRight w:val="0"/>
      <w:marTop w:val="0"/>
      <w:marBottom w:val="0"/>
      <w:divBdr>
        <w:top w:val="none" w:sz="0" w:space="0" w:color="auto"/>
        <w:left w:val="none" w:sz="0" w:space="0" w:color="auto"/>
        <w:bottom w:val="none" w:sz="0" w:space="0" w:color="auto"/>
        <w:right w:val="none" w:sz="0" w:space="0" w:color="auto"/>
      </w:divBdr>
    </w:div>
    <w:div w:id="21108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podarstvo.gov.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hr/cms.htm?id=44153" TargetMode="External"/><Relationship Id="rId2" Type="http://schemas.openxmlformats.org/officeDocument/2006/relationships/hyperlink" Target="https://www.zakon.hr/cms.htm?id=39889" TargetMode="External"/><Relationship Id="rId1" Type="http://schemas.openxmlformats.org/officeDocument/2006/relationships/hyperlink" Target="https://eur-lex.europa.eu/LexUriServ/LexUriServ.do?uri=OJ:L:2013:352:0001:0008:H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34422-B8C9-482F-A63F-06DD5646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Novak</dc:creator>
  <cp:keywords/>
  <dc:description/>
  <cp:lastModifiedBy>Gabrijela Babić</cp:lastModifiedBy>
  <cp:revision>10</cp:revision>
  <cp:lastPrinted>2021-01-27T09:06:00Z</cp:lastPrinted>
  <dcterms:created xsi:type="dcterms:W3CDTF">2021-01-26T12:50:00Z</dcterms:created>
  <dcterms:modified xsi:type="dcterms:W3CDTF">2021-01-27T09:07:00Z</dcterms:modified>
</cp:coreProperties>
</file>